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_rels/document.xml.rels" ContentType="application/vnd.openxmlformats-package.relationships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numPr>
          <w:ilvl w:val="0"/>
          <w:numId w:val="0"/>
        </w:numPr>
        <w:suppressAutoHyphens w:val="true"/>
        <w:spacing w:lineRule="auto" w:line="240" w:before="96" w:after="0"/>
        <w:jc w:val="center"/>
        <w:outlineLvl w:val="0"/>
        <w:rPr/>
      </w:pPr>
      <w:r>
        <w:rPr>
          <w:rFonts w:cs="Times New Roman" w:ascii="Times New Roman" w:hAnsi="Times New Roman"/>
          <w:b/>
          <w:color w:val="000000"/>
          <w:sz w:val="24"/>
          <w:szCs w:val="24"/>
        </w:rPr>
        <w:t>ТЕХНИЧЕСКОЕ ЗАДАНИЕ</w:t>
      </w:r>
    </w:p>
    <w:p>
      <w:pPr>
        <w:pStyle w:val="Normal"/>
        <w:keepNext w:val="true"/>
        <w:numPr>
          <w:ilvl w:val="0"/>
          <w:numId w:val="0"/>
        </w:numPr>
        <w:suppressAutoHyphens w:val="true"/>
        <w:spacing w:lineRule="auto" w:line="240" w:before="96" w:after="0"/>
        <w:jc w:val="center"/>
        <w:outlineLvl w:val="0"/>
        <w:rPr/>
      </w:pPr>
      <w:r>
        <w:rPr>
          <w:rFonts w:cs="Times New Roman" w:ascii="Times New Roman" w:hAnsi="Times New Roman"/>
          <w:b/>
          <w:color w:val="000000"/>
          <w:sz w:val="24"/>
          <w:szCs w:val="24"/>
        </w:rPr>
        <w:t>на оказание услуг по удаленному мониторингу и удаленной технической поддержке работоспособности системы АПВГК на автомобильных дорогах общего пользования регионального значения Курганской области</w:t>
      </w:r>
    </w:p>
    <w:p>
      <w:pPr>
        <w:pStyle w:val="Normal"/>
        <w:keepNext w:val="true"/>
        <w:numPr>
          <w:ilvl w:val="0"/>
          <w:numId w:val="0"/>
        </w:numPr>
        <w:suppressAutoHyphens w:val="true"/>
        <w:spacing w:lineRule="auto" w:line="240" w:before="96" w:after="0"/>
        <w:jc w:val="center"/>
        <w:outlineLvl w:val="0"/>
        <w:rPr>
          <w:rFonts w:ascii="Times New Roman" w:hAnsi="Times New Roman" w:eastAsia="Arial" w:cs="Times New Roman"/>
          <w:b/>
          <w:bCs/>
          <w:sz w:val="24"/>
          <w:szCs w:val="24"/>
          <w:lang w:eastAsia="hi-IN" w:bidi="hi-IN"/>
        </w:rPr>
      </w:pPr>
      <w:r>
        <w:rPr>
          <w:rFonts w:eastAsia="Arial" w:cs="Times New Roman" w:ascii="Times New Roman" w:hAnsi="Times New Roman"/>
          <w:b/>
          <w:bCs/>
          <w:sz w:val="24"/>
          <w:szCs w:val="24"/>
          <w:lang w:eastAsia="hi-IN" w:bidi="hi-IN"/>
        </w:rPr>
        <w:t>1. Общие положения.</w:t>
      </w:r>
    </w:p>
    <w:p>
      <w:pPr>
        <w:pStyle w:val="Normal"/>
        <w:widowControl/>
        <w:tabs>
          <w:tab w:val="clear" w:pos="708"/>
          <w:tab w:val="left" w:pos="1082" w:leader="none"/>
        </w:tabs>
        <w:bidi w:val="0"/>
        <w:spacing w:lineRule="auto" w:line="240" w:before="0" w:after="160"/>
        <w:ind w:firstLine="567" w:start="0" w:end="0"/>
        <w:contextualSpacing/>
        <w:jc w:val="start"/>
        <w:rPr>
          <w:rFonts w:ascii="Times New Roman" w:hAnsi="Times New Roman" w:eastAsia="Basic Roman" w:cs="Times New Roman"/>
          <w:bCs/>
          <w:sz w:val="24"/>
          <w:szCs w:val="24"/>
          <w:lang w:bidi="ar-SA"/>
        </w:rPr>
      </w:pPr>
      <w:r>
        <w:rPr>
          <w:rFonts w:eastAsia="Basic Roman" w:cs="Times New Roman" w:ascii="Times New Roman" w:hAnsi="Times New Roman"/>
          <w:bCs/>
          <w:sz w:val="24"/>
          <w:szCs w:val="24"/>
          <w:lang w:bidi="ar-SA"/>
        </w:rPr>
        <w:t>Целью оказания услуг по содержанию и обслуживанию является:</w:t>
      </w:r>
    </w:p>
    <w:p>
      <w:pPr>
        <w:pStyle w:val="Normal"/>
        <w:widowControl/>
        <w:tabs>
          <w:tab w:val="clear" w:pos="708"/>
          <w:tab w:val="left" w:pos="1082" w:leader="none"/>
        </w:tabs>
        <w:bidi w:val="0"/>
        <w:spacing w:lineRule="auto" w:line="240" w:before="0" w:after="160"/>
        <w:ind w:firstLine="567" w:start="0" w:end="0"/>
        <w:contextualSpacing/>
        <w:jc w:val="start"/>
        <w:rPr>
          <w:rFonts w:ascii="Times New Roman" w:hAnsi="Times New Roman" w:eastAsia="Basic Roman" w:cs="Times New Roman"/>
          <w:bCs/>
          <w:sz w:val="24"/>
          <w:szCs w:val="24"/>
          <w:lang w:bidi="ar-SA"/>
        </w:rPr>
      </w:pPr>
      <w:r>
        <w:rPr>
          <w:rFonts w:eastAsia="Basic Roman" w:cs="Times New Roman" w:ascii="Times New Roman" w:hAnsi="Times New Roman"/>
          <w:bCs/>
          <w:sz w:val="24"/>
          <w:szCs w:val="24"/>
          <w:lang w:bidi="ar-SA"/>
        </w:rPr>
        <w:t>- поддержание работоспособности системы в рабочем состоянии в режиме 24 часа в сутки 7 дней в неделю 365 дней в году в течение всего срока действия Договора;</w:t>
      </w:r>
    </w:p>
    <w:p>
      <w:pPr>
        <w:pStyle w:val="Normal"/>
        <w:widowControl/>
        <w:tabs>
          <w:tab w:val="clear" w:pos="708"/>
          <w:tab w:val="left" w:pos="1082" w:leader="none"/>
        </w:tabs>
        <w:bidi w:val="0"/>
        <w:spacing w:lineRule="auto" w:line="240" w:before="0" w:after="160"/>
        <w:ind w:firstLine="567" w:start="0" w:end="0"/>
        <w:contextualSpacing/>
        <w:jc w:val="start"/>
        <w:rPr>
          <w:rFonts w:ascii="Times New Roman" w:hAnsi="Times New Roman" w:eastAsia="Basic Roman" w:cs="Times New Roman"/>
          <w:bCs/>
          <w:sz w:val="24"/>
          <w:szCs w:val="24"/>
          <w:lang w:bidi="ar-SA"/>
        </w:rPr>
      </w:pPr>
      <w:r>
        <w:rPr>
          <w:rFonts w:eastAsia="Basic Roman" w:cs="Times New Roman" w:ascii="Times New Roman" w:hAnsi="Times New Roman"/>
          <w:bCs/>
          <w:sz w:val="24"/>
          <w:szCs w:val="24"/>
          <w:lang w:bidi="ar-SA"/>
        </w:rPr>
        <w:t>- поддержание функциональных и технических характеристик системы в установленном рабочем диапазоне, согласно технической документации на элементы системы, путем обеспечения и своевременного проведения регламентированных работ по техническому обслуживанию, оперативному восстановлению работоспособности элементов системы при сбоях и отказах в работе технических и программных средств.</w:t>
      </w:r>
    </w:p>
    <w:p>
      <w:pPr>
        <w:pStyle w:val="Normal"/>
        <w:widowControl/>
        <w:tabs>
          <w:tab w:val="clear" w:pos="708"/>
          <w:tab w:val="left" w:pos="1082" w:leader="none"/>
        </w:tabs>
        <w:bidi w:val="0"/>
        <w:spacing w:lineRule="auto" w:line="240" w:before="0" w:after="160"/>
        <w:ind w:firstLine="624" w:start="0" w:end="0"/>
        <w:contextualSpacing/>
        <w:jc w:val="start"/>
        <w:rPr>
          <w:rFonts w:ascii="Times New Roman" w:hAnsi="Times New Roman" w:eastAsia="Basic Roman" w:cs="Times New Roman"/>
          <w:bCs/>
          <w:sz w:val="24"/>
          <w:szCs w:val="24"/>
          <w:lang w:bidi="ar-SA"/>
        </w:rPr>
      </w:pPr>
      <w:r>
        <w:rPr>
          <w:rFonts w:eastAsia="Basic Roman" w:cs="Times New Roman" w:ascii="Times New Roman" w:hAnsi="Times New Roman"/>
          <w:bCs/>
          <w:sz w:val="24"/>
          <w:szCs w:val="24"/>
          <w:lang w:bidi="ar-SA"/>
        </w:rPr>
      </w:r>
    </w:p>
    <w:p>
      <w:pPr>
        <w:pStyle w:val="Normal"/>
        <w:widowControl/>
        <w:tabs>
          <w:tab w:val="clear" w:pos="708"/>
          <w:tab w:val="left" w:pos="1082" w:leader="none"/>
        </w:tabs>
        <w:bidi w:val="0"/>
        <w:spacing w:lineRule="auto" w:line="240" w:before="0" w:after="160"/>
        <w:ind w:hanging="0" w:start="0" w:end="0"/>
        <w:contextualSpacing/>
        <w:jc w:val="start"/>
        <w:rPr>
          <w:rFonts w:ascii="Times New Roman" w:hAnsi="Times New Roman" w:eastAsia="Basic Roman" w:cs="Times New Roman"/>
          <w:bCs/>
          <w:sz w:val="24"/>
          <w:szCs w:val="24"/>
          <w:lang w:bidi="ar-SA"/>
        </w:rPr>
      </w:pPr>
      <w:r>
        <w:rPr>
          <w:rFonts w:eastAsia="Basic Roman" w:cs="Times New Roman" w:ascii="Times New Roman" w:hAnsi="Times New Roman"/>
          <w:bCs/>
          <w:sz w:val="24"/>
          <w:szCs w:val="24"/>
          <w:lang w:bidi="ar-SA"/>
        </w:rPr>
        <w:t xml:space="preserve">          </w:t>
      </w:r>
      <w:r>
        <w:rPr>
          <w:rFonts w:eastAsia="Basic Roman" w:cs="Times New Roman" w:ascii="Times New Roman" w:hAnsi="Times New Roman"/>
          <w:bCs/>
          <w:sz w:val="24"/>
          <w:szCs w:val="24"/>
          <w:lang w:bidi="ar-SA"/>
        </w:rPr>
        <w:t>Места оказания услуг приведены в Таблице № 1.</w:t>
      </w:r>
    </w:p>
    <w:p>
      <w:pPr>
        <w:pStyle w:val="Normal"/>
        <w:spacing w:lineRule="auto" w:line="240"/>
        <w:ind w:firstLine="567"/>
        <w:rPr>
          <w:rFonts w:ascii="Times New Roman" w:hAnsi="Times New Roman" w:eastAsia="Basic Roman" w:cs="Times New Roman"/>
          <w:b/>
          <w:bCs/>
          <w:iCs/>
          <w:sz w:val="24"/>
          <w:szCs w:val="24"/>
          <w:lang w:eastAsia="en-US" w:bidi="ar-SA"/>
        </w:rPr>
      </w:pPr>
      <w:r>
        <w:rPr>
          <w:rFonts w:eastAsia="Basic Roman" w:cs="Times New Roman" w:ascii="Times New Roman" w:hAnsi="Times New Roman"/>
          <w:b/>
          <w:bCs/>
          <w:iCs/>
          <w:sz w:val="24"/>
          <w:szCs w:val="24"/>
          <w:lang w:eastAsia="en-US" w:bidi="ar-SA"/>
        </w:rPr>
      </w:r>
    </w:p>
    <w:p>
      <w:pPr>
        <w:pStyle w:val="Normal"/>
        <w:spacing w:lineRule="auto" w:line="240"/>
        <w:ind w:firstLine="567"/>
        <w:rPr>
          <w:rFonts w:ascii="Times New Roman" w:hAnsi="Times New Roman"/>
          <w:sz w:val="24"/>
          <w:szCs w:val="24"/>
        </w:rPr>
      </w:pPr>
      <w:r>
        <w:rPr>
          <w:rFonts w:eastAsia="Basic Roman" w:cs="Times New Roman" w:ascii="Times New Roman" w:hAnsi="Times New Roman"/>
          <w:b/>
          <w:bCs/>
          <w:iCs/>
          <w:sz w:val="24"/>
          <w:szCs w:val="24"/>
          <w:lang w:eastAsia="en-US" w:bidi="ar-SA"/>
        </w:rPr>
        <w:t>Т</w:t>
      </w:r>
      <w:r>
        <w:rPr>
          <w:rFonts w:eastAsia="Basic Roman" w:cs="Times New Roman" w:ascii="Times New Roman" w:hAnsi="Times New Roman"/>
          <w:b/>
          <w:bCs/>
          <w:iCs/>
          <w:sz w:val="24"/>
          <w:szCs w:val="24"/>
          <w:lang w:eastAsia="en-US" w:bidi="ar-SA"/>
        </w:rPr>
        <w:t>аблица № 1 – Места оказания услуг</w:t>
      </w:r>
    </w:p>
    <w:p>
      <w:pPr>
        <w:pStyle w:val="Normal"/>
        <w:spacing w:lineRule="auto" w:line="240"/>
        <w:ind w:firstLine="567"/>
        <w:rPr>
          <w:rFonts w:ascii="Times New Roman" w:hAnsi="Times New Roman" w:eastAsia="Basic Roman" w:cs="Times New Roman"/>
          <w:b/>
          <w:bCs/>
          <w:iCs/>
          <w:sz w:val="24"/>
          <w:szCs w:val="24"/>
          <w:lang w:eastAsia="en-US" w:bidi="ar-SA"/>
        </w:rPr>
      </w:pPr>
      <w:r>
        <w:rPr>
          <w:rFonts w:eastAsia="Basic Roman" w:cs="Times New Roman" w:ascii="Times New Roman" w:hAnsi="Times New Roman"/>
          <w:b/>
          <w:bCs/>
          <w:iCs/>
          <w:sz w:val="24"/>
          <w:szCs w:val="24"/>
          <w:lang w:eastAsia="en-US" w:bidi="ar-SA"/>
        </w:rPr>
      </w:r>
    </w:p>
    <w:tbl>
      <w:tblPr>
        <w:tblW w:w="9690" w:type="dxa"/>
        <w:jc w:val="start"/>
        <w:tblInd w:w="-12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570"/>
        <w:gridCol w:w="7020"/>
        <w:gridCol w:w="2100"/>
      </w:tblGrid>
      <w:tr>
        <w:trPr>
          <w:trHeight w:val="450" w:hRule="atLeast"/>
        </w:trPr>
        <w:tc>
          <w:tcPr>
            <w:tcW w:w="5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6804" w:leader="none"/>
              </w:tabs>
              <w:jc w:val="center"/>
              <w:rPr>
                <w:rFonts w:ascii="Times New Roman" w:hAnsi="Times New Roman" w:eastAsia="Basic Roman" w:cs="Times New Roman"/>
                <w:b/>
                <w:sz w:val="24"/>
                <w:szCs w:val="24"/>
                <w:lang w:eastAsia="en-US" w:bidi="ar-SA"/>
              </w:rPr>
            </w:pPr>
            <w:r>
              <w:rPr>
                <w:rFonts w:eastAsia="Basic Roman" w:cs="Times New Roman" w:ascii="Times New Roman" w:hAnsi="Times New Roman"/>
                <w:b/>
                <w:sz w:val="24"/>
                <w:szCs w:val="24"/>
                <w:lang w:eastAsia="en-US" w:bidi="ar-SA"/>
              </w:rPr>
              <w:t>№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6804" w:leader="none"/>
              </w:tabs>
              <w:spacing w:before="0" w:after="200"/>
              <w:jc w:val="center"/>
              <w:rPr>
                <w:rFonts w:ascii="Times New Roman" w:hAnsi="Times New Roman" w:eastAsia="Basic Roman" w:cs="Times New Roman"/>
                <w:b/>
                <w:sz w:val="24"/>
                <w:szCs w:val="24"/>
                <w:lang w:eastAsia="en-US" w:bidi="ar-SA"/>
              </w:rPr>
            </w:pPr>
            <w:r>
              <w:rPr>
                <w:rFonts w:eastAsia="Basic Roman" w:cs="Times New Roman" w:ascii="Times New Roman" w:hAnsi="Times New Roman"/>
                <w:b/>
                <w:sz w:val="24"/>
                <w:szCs w:val="24"/>
                <w:lang w:eastAsia="en-US" w:bidi="ar-SA"/>
              </w:rPr>
              <w:t>п/п</w:t>
            </w:r>
          </w:p>
        </w:tc>
        <w:tc>
          <w:tcPr>
            <w:tcW w:w="7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6804" w:leader="none"/>
              </w:tabs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Basic Roman" w:cs="Times New Roman" w:ascii="Times New Roman" w:hAnsi="Times New Roman"/>
                <w:b/>
                <w:sz w:val="24"/>
                <w:szCs w:val="24"/>
                <w:lang w:eastAsia="en-US" w:bidi="ar-SA"/>
              </w:rPr>
              <w:t xml:space="preserve">Адрес </w:t>
            </w:r>
            <w:r>
              <w:rPr>
                <w:rFonts w:eastAsia="Basic Roman" w:cs="Times New Roman" w:ascii="Times New Roman" w:hAnsi="Times New Roman"/>
                <w:b/>
                <w:bCs/>
                <w:sz w:val="24"/>
                <w:szCs w:val="24"/>
                <w:lang w:eastAsia="en-US" w:bidi="ar-SA"/>
              </w:rPr>
              <w:t>расположения</w:t>
            </w:r>
            <w:r>
              <w:rPr>
                <w:rFonts w:eastAsia="Basic Roman" w:cs="Times New Roman" w:ascii="Times New Roman" w:hAnsi="Times New Roman"/>
                <w:b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eastAsia="Basic Roman" w:cs="Times New Roman" w:ascii="Times New Roman" w:hAnsi="Times New Roman"/>
                <w:b/>
                <w:bCs/>
                <w:sz w:val="24"/>
                <w:szCs w:val="24"/>
                <w:lang w:eastAsia="en-US" w:bidi="ar-SA"/>
              </w:rPr>
              <w:t>комплекса АПВГК</w:t>
            </w:r>
            <w:r>
              <w:rPr>
                <w:rFonts w:eastAsia="Basic Roman" w:cs="Times New Roman" w:ascii="Times New Roman" w:hAnsi="Times New Roman"/>
                <w:b/>
                <w:sz w:val="24"/>
                <w:szCs w:val="24"/>
                <w:lang w:eastAsia="en-US" w:bidi="ar-SA"/>
              </w:rPr>
              <w:t xml:space="preserve"> (наименование а/д)</w:t>
            </w:r>
          </w:p>
        </w:tc>
        <w:tc>
          <w:tcPr>
            <w:tcW w:w="21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6804" w:leader="none"/>
              </w:tabs>
              <w:spacing w:before="0" w:after="200"/>
              <w:jc w:val="center"/>
              <w:rPr>
                <w:rFonts w:ascii="Times New Roman" w:hAnsi="Times New Roman" w:eastAsia="Basic Roman" w:cs="Times New Roman"/>
                <w:b/>
                <w:sz w:val="24"/>
                <w:szCs w:val="24"/>
                <w:lang w:eastAsia="en-US" w:bidi="ar-SA"/>
              </w:rPr>
            </w:pPr>
            <w:r>
              <w:rPr>
                <w:rFonts w:eastAsia="Basic Roman" w:cs="Times New Roman" w:ascii="Times New Roman" w:hAnsi="Times New Roman"/>
                <w:b/>
                <w:sz w:val="24"/>
                <w:szCs w:val="24"/>
                <w:lang w:eastAsia="en-US" w:bidi="ar-SA"/>
              </w:rPr>
              <w:t>Количественный показатель</w:t>
            </w:r>
          </w:p>
        </w:tc>
      </w:tr>
      <w:tr>
        <w:trPr>
          <w:trHeight w:val="275" w:hRule="atLeast"/>
        </w:trPr>
        <w:tc>
          <w:tcPr>
            <w:tcW w:w="5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6804" w:leader="none"/>
              </w:tabs>
              <w:spacing w:before="0" w:after="200"/>
              <w:jc w:val="center"/>
              <w:rPr>
                <w:rFonts w:ascii="Times New Roman" w:hAnsi="Times New Roman" w:eastAsia="Basic Roman" w:cs="Times New Roman"/>
                <w:sz w:val="24"/>
                <w:szCs w:val="24"/>
                <w:lang w:eastAsia="en-US" w:bidi="ar-SA"/>
              </w:rPr>
            </w:pPr>
            <w:r>
              <w:rPr>
                <w:rFonts w:eastAsia="Basic Roman" w:cs="Times New Roman" w:ascii="Times New Roman" w:hAnsi="Times New Roman"/>
                <w:sz w:val="24"/>
                <w:szCs w:val="24"/>
                <w:lang w:eastAsia="en-US" w:bidi="ar-SA"/>
              </w:rPr>
              <w:t>1.</w:t>
            </w:r>
          </w:p>
        </w:tc>
        <w:tc>
          <w:tcPr>
            <w:tcW w:w="7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rPr>
                <w:rFonts w:ascii="Times New Roman" w:hAnsi="Times New Roman" w:eastAsia="Basic Roman" w:cs="Times New Roman"/>
                <w:sz w:val="24"/>
                <w:szCs w:val="24"/>
                <w:lang w:bidi="ar-SA"/>
              </w:rPr>
            </w:pPr>
            <w:r>
              <w:rPr>
                <w:rFonts w:eastAsia="Basic Roman" w:cs="Times New Roman" w:ascii="Times New Roman" w:hAnsi="Times New Roman"/>
                <w:sz w:val="24"/>
                <w:szCs w:val="24"/>
                <w:lang w:bidi="ar-SA"/>
              </w:rPr>
              <w:t>Курган – Звериноголовское (до границы Казахстана) в Звериноголовском муниципальном округе Курганской области на участке км 127+150</w:t>
            </w:r>
          </w:p>
        </w:tc>
        <w:tc>
          <w:tcPr>
            <w:tcW w:w="21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6804" w:leader="none"/>
              </w:tabs>
              <w:spacing w:before="0" w:after="200"/>
              <w:jc w:val="center"/>
              <w:rPr>
                <w:rFonts w:ascii="Times New Roman" w:hAnsi="Times New Roman" w:eastAsia="Basic Roman" w:cs="Times New Roman"/>
                <w:sz w:val="24"/>
                <w:szCs w:val="24"/>
                <w:lang w:eastAsia="en-US" w:bidi="ar-SA"/>
              </w:rPr>
            </w:pPr>
            <w:r>
              <w:rPr>
                <w:rFonts w:eastAsia="Basic Roman" w:cs="Times New Roman" w:ascii="Times New Roman" w:hAnsi="Times New Roman"/>
                <w:sz w:val="24"/>
                <w:szCs w:val="24"/>
                <w:lang w:eastAsia="en-US" w:bidi="ar-SA"/>
              </w:rPr>
              <w:t>объект</w:t>
            </w:r>
          </w:p>
        </w:tc>
      </w:tr>
      <w:tr>
        <w:trPr>
          <w:trHeight w:val="509" w:hRule="atLeast"/>
        </w:trPr>
        <w:tc>
          <w:tcPr>
            <w:tcW w:w="5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6804" w:leader="none"/>
              </w:tabs>
              <w:spacing w:before="0" w:after="200"/>
              <w:jc w:val="center"/>
              <w:rPr>
                <w:rFonts w:ascii="Times New Roman" w:hAnsi="Times New Roman" w:eastAsia="Basic Roman" w:cs="Times New Roman"/>
                <w:sz w:val="24"/>
                <w:szCs w:val="24"/>
                <w:lang w:eastAsia="en-US" w:bidi="ar-SA"/>
              </w:rPr>
            </w:pPr>
            <w:r>
              <w:rPr>
                <w:rFonts w:eastAsia="Basic Roman" w:cs="Times New Roman" w:ascii="Times New Roman" w:hAnsi="Times New Roman"/>
                <w:sz w:val="24"/>
                <w:szCs w:val="24"/>
                <w:lang w:eastAsia="en-US" w:bidi="ar-SA"/>
              </w:rPr>
              <w:t>2.</w:t>
            </w:r>
          </w:p>
        </w:tc>
        <w:tc>
          <w:tcPr>
            <w:tcW w:w="7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rPr>
                <w:rFonts w:ascii="Times New Roman" w:hAnsi="Times New Roman" w:eastAsia="Basic Roman" w:cs="Times New Roman"/>
                <w:sz w:val="24"/>
                <w:szCs w:val="24"/>
                <w:lang w:bidi="ar-SA"/>
              </w:rPr>
            </w:pPr>
            <w:r>
              <w:rPr>
                <w:rFonts w:eastAsia="Basic Roman" w:cs="Times New Roman" w:ascii="Times New Roman" w:hAnsi="Times New Roman"/>
                <w:sz w:val="24"/>
                <w:szCs w:val="24"/>
                <w:lang w:bidi="ar-SA"/>
              </w:rPr>
              <w:t>Шадринск – Миасское в Катайском муниципальном округе Курганской области на участке км 75+210</w:t>
            </w:r>
          </w:p>
        </w:tc>
        <w:tc>
          <w:tcPr>
            <w:tcW w:w="21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6804" w:leader="none"/>
              </w:tabs>
              <w:spacing w:before="0" w:after="200"/>
              <w:jc w:val="center"/>
              <w:rPr>
                <w:rFonts w:ascii="Times New Roman" w:hAnsi="Times New Roman" w:eastAsia="Basic Roman" w:cs="Times New Roman"/>
                <w:sz w:val="24"/>
                <w:szCs w:val="24"/>
                <w:lang w:eastAsia="en-US" w:bidi="ar-SA"/>
              </w:rPr>
            </w:pPr>
            <w:r>
              <w:rPr>
                <w:rFonts w:eastAsia="Basic Roman" w:cs="Times New Roman" w:ascii="Times New Roman" w:hAnsi="Times New Roman"/>
                <w:sz w:val="24"/>
                <w:szCs w:val="24"/>
                <w:lang w:eastAsia="en-US" w:bidi="ar-SA"/>
              </w:rPr>
              <w:t>объект</w:t>
            </w:r>
          </w:p>
        </w:tc>
      </w:tr>
      <w:tr>
        <w:trPr>
          <w:trHeight w:val="509" w:hRule="atLeast"/>
        </w:trPr>
        <w:tc>
          <w:tcPr>
            <w:tcW w:w="5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6804" w:leader="none"/>
              </w:tabs>
              <w:spacing w:before="0" w:after="200"/>
              <w:jc w:val="center"/>
              <w:rPr>
                <w:rFonts w:ascii="Times New Roman" w:hAnsi="Times New Roman" w:eastAsia="Basic Roman" w:cs="Times New Roman"/>
                <w:sz w:val="24"/>
                <w:szCs w:val="24"/>
                <w:lang w:eastAsia="en-US" w:bidi="ar-SA"/>
              </w:rPr>
            </w:pPr>
            <w:r>
              <w:rPr>
                <w:rFonts w:eastAsia="Basic Roman" w:cs="Times New Roman" w:ascii="Times New Roman" w:hAnsi="Times New Roman"/>
                <w:sz w:val="24"/>
                <w:szCs w:val="24"/>
                <w:lang w:eastAsia="en-US" w:bidi="ar-SA"/>
              </w:rPr>
              <w:t>3.</w:t>
            </w:r>
          </w:p>
        </w:tc>
        <w:tc>
          <w:tcPr>
            <w:tcW w:w="7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rPr>
                <w:rFonts w:ascii="Times New Roman" w:hAnsi="Times New Roman" w:eastAsia="Basic Roman" w:cs="Times New Roman"/>
                <w:sz w:val="24"/>
                <w:szCs w:val="24"/>
                <w:lang w:bidi="ar-SA"/>
              </w:rPr>
            </w:pPr>
            <w:r>
              <w:rPr>
                <w:rFonts w:eastAsia="Basic Roman" w:cs="Times New Roman" w:ascii="Times New Roman" w:hAnsi="Times New Roman"/>
                <w:sz w:val="24"/>
                <w:szCs w:val="24"/>
                <w:lang w:bidi="ar-SA"/>
              </w:rPr>
              <w:t>Шадринск – Ялуторовск в Шатровском муниципальном округе Курганской области на участке км 87+500</w:t>
            </w:r>
          </w:p>
        </w:tc>
        <w:tc>
          <w:tcPr>
            <w:tcW w:w="21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6804" w:leader="none"/>
              </w:tabs>
              <w:spacing w:before="0" w:after="200"/>
              <w:jc w:val="center"/>
              <w:rPr>
                <w:rFonts w:ascii="Times New Roman" w:hAnsi="Times New Roman" w:eastAsia="Basic Roman" w:cs="Times New Roman"/>
                <w:sz w:val="24"/>
                <w:szCs w:val="24"/>
                <w:lang w:eastAsia="en-US" w:bidi="ar-SA"/>
              </w:rPr>
            </w:pPr>
            <w:r>
              <w:rPr>
                <w:rFonts w:eastAsia="Basic Roman" w:cs="Times New Roman" w:ascii="Times New Roman" w:hAnsi="Times New Roman"/>
                <w:sz w:val="24"/>
                <w:szCs w:val="24"/>
                <w:lang w:eastAsia="en-US" w:bidi="ar-SA"/>
              </w:rPr>
              <w:t>объект</w:t>
            </w:r>
          </w:p>
        </w:tc>
      </w:tr>
      <w:tr>
        <w:trPr>
          <w:trHeight w:val="509" w:hRule="atLeast"/>
        </w:trPr>
        <w:tc>
          <w:tcPr>
            <w:tcW w:w="5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6804" w:leader="none"/>
              </w:tabs>
              <w:spacing w:before="0" w:after="200"/>
              <w:jc w:val="center"/>
              <w:rPr>
                <w:rFonts w:ascii="Times New Roman" w:hAnsi="Times New Roman" w:eastAsia="Basic Roman" w:cs="Times New Roman"/>
                <w:sz w:val="24"/>
                <w:szCs w:val="24"/>
                <w:lang w:eastAsia="en-US" w:bidi="ar-SA"/>
              </w:rPr>
            </w:pPr>
            <w:r>
              <w:rPr>
                <w:rFonts w:eastAsia="Basic Roman" w:cs="Times New Roman" w:ascii="Times New Roman" w:hAnsi="Times New Roman"/>
                <w:sz w:val="24"/>
                <w:szCs w:val="24"/>
                <w:lang w:eastAsia="en-US" w:bidi="ar-SA"/>
              </w:rPr>
              <w:t>4.</w:t>
            </w:r>
          </w:p>
        </w:tc>
        <w:tc>
          <w:tcPr>
            <w:tcW w:w="7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Basic Roman" w:cs="Times New Roman" w:ascii="Times New Roman" w:hAnsi="Times New Roman"/>
                <w:sz w:val="24"/>
                <w:szCs w:val="24"/>
                <w:lang w:bidi="ar-SA"/>
              </w:rPr>
              <w:t xml:space="preserve">Лебяжье </w:t>
            </w:r>
            <w:r>
              <w:rPr>
                <w:rFonts w:cs="Arial" w:ascii="Times New Roman" w:hAnsi="Times New Roman"/>
                <w:sz w:val="24"/>
                <w:szCs w:val="24"/>
              </w:rPr>
              <w:t>–</w:t>
            </w:r>
            <w:r>
              <w:rPr>
                <w:rFonts w:eastAsia="Basic Roman" w:cs="Times New Roman" w:ascii="Times New Roman" w:hAnsi="Times New Roman"/>
                <w:sz w:val="24"/>
                <w:szCs w:val="24"/>
                <w:lang w:bidi="ar-SA"/>
              </w:rPr>
              <w:t xml:space="preserve"> Мокроусово </w:t>
            </w:r>
            <w:r>
              <w:rPr>
                <w:rFonts w:cs="Arial" w:ascii="Times New Roman" w:hAnsi="Times New Roman"/>
                <w:sz w:val="24"/>
                <w:szCs w:val="24"/>
              </w:rPr>
              <w:t>–</w:t>
            </w:r>
            <w:r>
              <w:rPr>
                <w:rFonts w:eastAsia="Basic Roman" w:cs="Times New Roman" w:ascii="Times New Roman" w:hAnsi="Times New Roman"/>
                <w:sz w:val="24"/>
                <w:szCs w:val="24"/>
                <w:lang w:bidi="ar-SA"/>
              </w:rPr>
              <w:t xml:space="preserve"> Щигры в Мокроусовском муниципальном округе Курганской области на участке км 71+566</w:t>
            </w:r>
          </w:p>
        </w:tc>
        <w:tc>
          <w:tcPr>
            <w:tcW w:w="21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6804" w:leader="none"/>
              </w:tabs>
              <w:spacing w:before="0" w:after="200"/>
              <w:jc w:val="center"/>
              <w:rPr>
                <w:rFonts w:ascii="Times New Roman" w:hAnsi="Times New Roman" w:eastAsia="Basic Roman" w:cs="Times New Roman"/>
                <w:sz w:val="24"/>
                <w:szCs w:val="24"/>
                <w:lang w:eastAsia="en-US" w:bidi="ar-SA"/>
              </w:rPr>
            </w:pPr>
            <w:r>
              <w:rPr>
                <w:rFonts w:eastAsia="Basic Roman" w:cs="Times New Roman" w:ascii="Times New Roman" w:hAnsi="Times New Roman"/>
                <w:sz w:val="24"/>
                <w:szCs w:val="24"/>
                <w:lang w:eastAsia="en-US" w:bidi="ar-SA"/>
              </w:rPr>
              <w:t>объект</w:t>
            </w:r>
          </w:p>
        </w:tc>
      </w:tr>
      <w:tr>
        <w:trPr>
          <w:trHeight w:val="509" w:hRule="atLeast"/>
        </w:trPr>
        <w:tc>
          <w:tcPr>
            <w:tcW w:w="5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6804" w:leader="none"/>
              </w:tabs>
              <w:spacing w:before="0" w:after="200"/>
              <w:jc w:val="center"/>
              <w:rPr>
                <w:rFonts w:ascii="Times New Roman" w:hAnsi="Times New Roman" w:eastAsia="Basic Roman" w:cs="Times New Roman"/>
                <w:sz w:val="24"/>
                <w:szCs w:val="24"/>
                <w:lang w:eastAsia="en-US" w:bidi="ar-SA"/>
              </w:rPr>
            </w:pPr>
            <w:r>
              <w:rPr>
                <w:rFonts w:eastAsia="Basic Roman" w:cs="Times New Roman" w:ascii="Times New Roman" w:hAnsi="Times New Roman"/>
                <w:sz w:val="24"/>
                <w:szCs w:val="24"/>
                <w:lang w:eastAsia="en-US" w:bidi="ar-SA"/>
              </w:rPr>
              <w:t>5.</w:t>
            </w:r>
          </w:p>
        </w:tc>
        <w:tc>
          <w:tcPr>
            <w:tcW w:w="7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Basic Roman" w:cs="Times New Roman" w:ascii="Times New Roman" w:hAnsi="Times New Roman"/>
                <w:sz w:val="24"/>
                <w:szCs w:val="24"/>
                <w:lang w:bidi="ar-SA"/>
              </w:rPr>
              <w:t xml:space="preserve">«Иртыш» </w:t>
            </w:r>
            <w:r>
              <w:rPr>
                <w:rFonts w:cs="Arial" w:ascii="Times New Roman" w:hAnsi="Times New Roman"/>
                <w:sz w:val="24"/>
                <w:szCs w:val="24"/>
              </w:rPr>
              <w:t>–</w:t>
            </w:r>
            <w:r>
              <w:rPr>
                <w:rFonts w:eastAsia="Basic Roman" w:cs="Times New Roman" w:ascii="Times New Roman" w:hAnsi="Times New Roman"/>
                <w:sz w:val="24"/>
                <w:szCs w:val="24"/>
                <w:lang w:bidi="ar-SA"/>
              </w:rPr>
              <w:t xml:space="preserve"> Песчанотаволжанское </w:t>
            </w:r>
            <w:r>
              <w:rPr>
                <w:rFonts w:cs="Arial" w:ascii="Times New Roman" w:hAnsi="Times New Roman"/>
                <w:sz w:val="24"/>
                <w:szCs w:val="24"/>
              </w:rPr>
              <w:t>–</w:t>
            </w:r>
            <w:r>
              <w:rPr>
                <w:rFonts w:eastAsia="Basic Roman" w:cs="Times New Roman" w:ascii="Times New Roman" w:hAnsi="Times New Roman"/>
                <w:sz w:val="24"/>
                <w:szCs w:val="24"/>
                <w:lang w:bidi="ar-SA"/>
              </w:rPr>
              <w:t xml:space="preserve"> «Шадринск </w:t>
            </w:r>
            <w:r>
              <w:rPr>
                <w:rFonts w:cs="Arial" w:ascii="Times New Roman" w:hAnsi="Times New Roman"/>
                <w:sz w:val="24"/>
                <w:szCs w:val="24"/>
              </w:rPr>
              <w:t>–</w:t>
            </w:r>
            <w:r>
              <w:rPr>
                <w:rFonts w:eastAsia="Basic Roman" w:cs="Times New Roman" w:ascii="Times New Roman" w:hAnsi="Times New Roman"/>
                <w:sz w:val="24"/>
                <w:szCs w:val="24"/>
                <w:lang w:bidi="ar-SA"/>
              </w:rPr>
              <w:t xml:space="preserve"> Миасское» в Шумихинском муниципальном округе Курганской области на участке км 3+330</w:t>
            </w:r>
          </w:p>
        </w:tc>
        <w:tc>
          <w:tcPr>
            <w:tcW w:w="21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6804" w:leader="none"/>
              </w:tabs>
              <w:spacing w:before="0" w:after="200"/>
              <w:jc w:val="center"/>
              <w:rPr>
                <w:rFonts w:ascii="Times New Roman" w:hAnsi="Times New Roman" w:eastAsia="Basic Roman" w:cs="Times New Roman"/>
                <w:sz w:val="24"/>
                <w:szCs w:val="24"/>
                <w:lang w:eastAsia="en-US" w:bidi="ar-SA"/>
              </w:rPr>
            </w:pPr>
            <w:r>
              <w:rPr>
                <w:rFonts w:eastAsia="Basic Roman" w:cs="Times New Roman" w:ascii="Times New Roman" w:hAnsi="Times New Roman"/>
                <w:sz w:val="24"/>
                <w:szCs w:val="24"/>
                <w:lang w:eastAsia="en-US" w:bidi="ar-SA"/>
              </w:rPr>
              <w:t>объект</w:t>
            </w:r>
          </w:p>
        </w:tc>
      </w:tr>
      <w:tr>
        <w:trPr>
          <w:trHeight w:val="509" w:hRule="atLeast"/>
        </w:trPr>
        <w:tc>
          <w:tcPr>
            <w:tcW w:w="57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6804" w:leader="none"/>
              </w:tabs>
              <w:spacing w:before="0" w:after="200"/>
              <w:jc w:val="center"/>
              <w:rPr>
                <w:rFonts w:ascii="Times New Roman" w:hAnsi="Times New Roman" w:eastAsia="Basic Roman" w:cs="Times New Roman"/>
                <w:sz w:val="24"/>
                <w:szCs w:val="24"/>
                <w:lang w:eastAsia="en-US" w:bidi="ar-SA"/>
              </w:rPr>
            </w:pPr>
            <w:r>
              <w:rPr>
                <w:rFonts w:eastAsia="Basic Roman" w:cs="Times New Roman" w:ascii="Times New Roman" w:hAnsi="Times New Roman"/>
                <w:sz w:val="24"/>
                <w:szCs w:val="24"/>
                <w:lang w:eastAsia="en-US" w:bidi="ar-SA"/>
              </w:rPr>
              <w:t>6.</w:t>
            </w:r>
          </w:p>
        </w:tc>
        <w:tc>
          <w:tcPr>
            <w:tcW w:w="702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Basic Roman" w:cs="Times New Roman" w:ascii="Times New Roman" w:hAnsi="Times New Roman"/>
                <w:sz w:val="24"/>
                <w:szCs w:val="24"/>
                <w:lang w:bidi="ar-SA"/>
              </w:rPr>
              <w:t xml:space="preserve">«Екатеринбург – Шадринск – Курган» </w:t>
            </w:r>
            <w:r>
              <w:rPr>
                <w:rFonts w:cs="Arial" w:ascii="Times New Roman" w:hAnsi="Times New Roman"/>
                <w:sz w:val="24"/>
                <w:szCs w:val="24"/>
              </w:rPr>
              <w:t>–</w:t>
            </w:r>
            <w:r>
              <w:rPr>
                <w:rFonts w:eastAsia="Basic Roman" w:cs="Times New Roman" w:ascii="Times New Roman" w:hAnsi="Times New Roman"/>
                <w:sz w:val="24"/>
                <w:szCs w:val="24"/>
                <w:lang w:bidi="ar-SA"/>
              </w:rPr>
              <w:t xml:space="preserve"> Падерино – граница Свердловской области в Далматовском муниципальном округе Курганской области на участке км 0+850</w:t>
            </w:r>
          </w:p>
        </w:tc>
        <w:tc>
          <w:tcPr>
            <w:tcW w:w="210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6804" w:leader="none"/>
              </w:tabs>
              <w:spacing w:before="0" w:after="200"/>
              <w:jc w:val="center"/>
              <w:rPr>
                <w:rFonts w:ascii="Times New Roman" w:hAnsi="Times New Roman" w:eastAsia="Basic Roman" w:cs="Times New Roman"/>
                <w:sz w:val="24"/>
                <w:szCs w:val="24"/>
                <w:lang w:eastAsia="en-US" w:bidi="ar-SA"/>
              </w:rPr>
            </w:pPr>
            <w:r>
              <w:rPr>
                <w:rFonts w:eastAsia="Basic Roman" w:cs="Times New Roman" w:ascii="Times New Roman" w:hAnsi="Times New Roman"/>
                <w:sz w:val="24"/>
                <w:szCs w:val="24"/>
                <w:lang w:eastAsia="en-US" w:bidi="ar-SA"/>
              </w:rPr>
              <w:t>объект</w:t>
            </w:r>
          </w:p>
        </w:tc>
      </w:tr>
      <w:tr>
        <w:trPr>
          <w:trHeight w:val="509" w:hRule="atLeast"/>
        </w:trPr>
        <w:tc>
          <w:tcPr>
            <w:tcW w:w="57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6804" w:leader="none"/>
              </w:tabs>
              <w:spacing w:before="0" w:after="200"/>
              <w:jc w:val="center"/>
              <w:rPr>
                <w:rFonts w:ascii="Times New Roman" w:hAnsi="Times New Roman" w:eastAsia="Basic Roman" w:cs="Times New Roman"/>
                <w:sz w:val="24"/>
                <w:szCs w:val="24"/>
                <w:lang w:eastAsia="en-US" w:bidi="ar-SA"/>
              </w:rPr>
            </w:pPr>
            <w:r>
              <w:rPr>
                <w:rFonts w:eastAsia="Basic Roman" w:cs="Times New Roman" w:ascii="Times New Roman" w:hAnsi="Times New Roman"/>
                <w:sz w:val="24"/>
                <w:szCs w:val="24"/>
                <w:lang w:eastAsia="en-US" w:bidi="ar-SA"/>
              </w:rPr>
              <w:t>7.</w:t>
            </w:r>
          </w:p>
        </w:tc>
        <w:tc>
          <w:tcPr>
            <w:tcW w:w="702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rPr>
                <w:rFonts w:ascii="Times New Roman" w:hAnsi="Times New Roman" w:eastAsia="Basic Roman" w:cs="Times New Roman"/>
                <w:sz w:val="24"/>
                <w:szCs w:val="24"/>
                <w:lang w:bidi="ar-SA"/>
              </w:rPr>
            </w:pPr>
            <w:r>
              <w:rPr>
                <w:rFonts w:eastAsia="Basic Roman" w:cs="Times New Roman" w:ascii="Times New Roman" w:hAnsi="Times New Roman"/>
                <w:sz w:val="24"/>
                <w:szCs w:val="24"/>
                <w:lang w:bidi="ar-SA"/>
              </w:rPr>
              <w:t>Курган – Половинное – Воскресенское – граница Казахстана в Половинском муниципальном округе Курганской области на участке км 91+500</w:t>
            </w:r>
          </w:p>
        </w:tc>
        <w:tc>
          <w:tcPr>
            <w:tcW w:w="210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6804" w:leader="none"/>
              </w:tabs>
              <w:spacing w:before="0" w:after="200"/>
              <w:jc w:val="center"/>
              <w:rPr>
                <w:rFonts w:ascii="Times New Roman" w:hAnsi="Times New Roman" w:eastAsia="Basic Roman" w:cs="Times New Roman"/>
                <w:sz w:val="24"/>
                <w:szCs w:val="24"/>
                <w:lang w:eastAsia="en-US" w:bidi="ar-SA"/>
              </w:rPr>
            </w:pPr>
            <w:r>
              <w:rPr>
                <w:rFonts w:eastAsia="Basic Roman" w:cs="Times New Roman" w:ascii="Times New Roman" w:hAnsi="Times New Roman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eastAsia="Basic Roman" w:cs="Times New Roman" w:ascii="Times New Roman" w:hAnsi="Times New Roman"/>
                <w:sz w:val="24"/>
                <w:szCs w:val="24"/>
                <w:lang w:eastAsia="en-US" w:bidi="ar-SA"/>
              </w:rPr>
              <w:t>объект</w:t>
            </w:r>
          </w:p>
        </w:tc>
      </w:tr>
      <w:tr>
        <w:trPr>
          <w:trHeight w:val="509" w:hRule="atLeast"/>
        </w:trPr>
        <w:tc>
          <w:tcPr>
            <w:tcW w:w="57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6804" w:leader="none"/>
              </w:tabs>
              <w:spacing w:before="0" w:after="200"/>
              <w:jc w:val="center"/>
              <w:rPr>
                <w:rFonts w:ascii="Times New Roman" w:hAnsi="Times New Roman" w:eastAsia="Basic Roman" w:cs="Times New Roman"/>
                <w:sz w:val="24"/>
                <w:szCs w:val="24"/>
                <w:lang w:eastAsia="en-US" w:bidi="ar-SA"/>
              </w:rPr>
            </w:pPr>
            <w:r>
              <w:rPr>
                <w:rFonts w:eastAsia="Basic Roman" w:cs="Times New Roman" w:ascii="Times New Roman" w:hAnsi="Times New Roman"/>
                <w:sz w:val="24"/>
                <w:szCs w:val="24"/>
                <w:lang w:eastAsia="en-US" w:bidi="ar-SA"/>
              </w:rPr>
              <w:t>8.</w:t>
            </w:r>
          </w:p>
        </w:tc>
        <w:tc>
          <w:tcPr>
            <w:tcW w:w="702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rPr>
                <w:rFonts w:ascii="Times New Roman" w:hAnsi="Times New Roman" w:eastAsia="Basic Roman" w:cs="Times New Roman"/>
                <w:sz w:val="24"/>
                <w:szCs w:val="24"/>
                <w:lang w:bidi="ar-SA"/>
              </w:rPr>
            </w:pPr>
            <w:r>
              <w:rPr>
                <w:rFonts w:eastAsia="Basic Roman" w:cs="Times New Roman" w:ascii="Times New Roman" w:hAnsi="Times New Roman"/>
                <w:sz w:val="24"/>
                <w:szCs w:val="24"/>
                <w:lang w:bidi="ar-SA"/>
              </w:rPr>
              <w:t>Целинное – Кислянка – Патранино – граница Челябинской области в Целинном муниципальном округе Курганской области на участке км 30+950</w:t>
            </w:r>
          </w:p>
        </w:tc>
        <w:tc>
          <w:tcPr>
            <w:tcW w:w="210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6804" w:leader="none"/>
              </w:tabs>
              <w:spacing w:before="0" w:after="200"/>
              <w:jc w:val="center"/>
              <w:rPr>
                <w:rFonts w:ascii="Times New Roman" w:hAnsi="Times New Roman" w:eastAsia="Basic Roman" w:cs="Times New Roman"/>
                <w:sz w:val="24"/>
                <w:szCs w:val="24"/>
                <w:lang w:eastAsia="en-US" w:bidi="ar-SA"/>
              </w:rPr>
            </w:pPr>
            <w:r>
              <w:rPr>
                <w:rFonts w:eastAsia="Basic Roman" w:cs="Times New Roman" w:ascii="Times New Roman" w:hAnsi="Times New Roman"/>
                <w:sz w:val="24"/>
                <w:szCs w:val="24"/>
                <w:lang w:eastAsia="en-US" w:bidi="ar-SA"/>
              </w:rPr>
              <w:t>объект</w:t>
            </w:r>
          </w:p>
        </w:tc>
      </w:tr>
      <w:tr>
        <w:trPr>
          <w:trHeight w:val="509" w:hRule="atLeast"/>
        </w:trPr>
        <w:tc>
          <w:tcPr>
            <w:tcW w:w="57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6804" w:leader="none"/>
              </w:tabs>
              <w:spacing w:before="0" w:after="200"/>
              <w:jc w:val="center"/>
              <w:rPr>
                <w:rFonts w:ascii="Times New Roman" w:hAnsi="Times New Roman" w:eastAsia="Basic Roman" w:cs="Arial"/>
                <w:sz w:val="24"/>
                <w:szCs w:val="24"/>
                <w:lang w:eastAsia="en-US" w:bidi="ar-SA"/>
              </w:rPr>
            </w:pPr>
            <w:r>
              <w:rPr>
                <w:rFonts w:eastAsia="Basic Roman" w:cs="Arial" w:ascii="Times New Roman" w:hAnsi="Times New Roman"/>
                <w:sz w:val="24"/>
                <w:szCs w:val="24"/>
                <w:lang w:eastAsia="en-US" w:bidi="ar-SA"/>
              </w:rPr>
              <w:t>9.</w:t>
            </w:r>
          </w:p>
        </w:tc>
        <w:tc>
          <w:tcPr>
            <w:tcW w:w="702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  <w:t>Сафакулево – Сарт–Абдрашево – Преображенка в Сафакулевском муниципальном округе Курганской области на участке км 15+138</w:t>
            </w:r>
          </w:p>
        </w:tc>
        <w:tc>
          <w:tcPr>
            <w:tcW w:w="210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6804" w:leader="none"/>
              </w:tabs>
              <w:spacing w:before="0" w:after="200"/>
              <w:jc w:val="center"/>
              <w:rPr>
                <w:rFonts w:ascii="Times New Roman" w:hAnsi="Times New Roman" w:eastAsia="Basic Roman" w:cs="Times New Roman"/>
                <w:sz w:val="24"/>
                <w:szCs w:val="24"/>
                <w:lang w:eastAsia="en-US" w:bidi="ar-SA"/>
              </w:rPr>
            </w:pPr>
            <w:r>
              <w:rPr>
                <w:rFonts w:eastAsia="Basic Roman" w:cs="Times New Roman" w:ascii="Times New Roman" w:hAnsi="Times New Roman"/>
                <w:sz w:val="24"/>
                <w:szCs w:val="24"/>
                <w:lang w:eastAsia="en-US" w:bidi="ar-SA"/>
              </w:rPr>
              <w:t>объект</w:t>
            </w:r>
          </w:p>
        </w:tc>
      </w:tr>
      <w:tr>
        <w:trPr>
          <w:trHeight w:val="509" w:hRule="atLeast"/>
        </w:trPr>
        <w:tc>
          <w:tcPr>
            <w:tcW w:w="57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6804" w:leader="none"/>
              </w:tabs>
              <w:spacing w:before="0" w:after="200"/>
              <w:jc w:val="center"/>
              <w:rPr>
                <w:rFonts w:ascii="Times New Roman" w:hAnsi="Times New Roman" w:eastAsia="Basic Roman" w:cs="Arial"/>
                <w:sz w:val="24"/>
                <w:szCs w:val="24"/>
                <w:lang w:eastAsia="en-US" w:bidi="ar-SA"/>
              </w:rPr>
            </w:pPr>
            <w:r>
              <w:rPr>
                <w:rFonts w:eastAsia="Basic Roman" w:cs="Arial" w:ascii="Times New Roman" w:hAnsi="Times New Roman"/>
                <w:sz w:val="24"/>
                <w:szCs w:val="24"/>
                <w:lang w:eastAsia="en-US" w:bidi="ar-SA"/>
              </w:rPr>
              <w:t xml:space="preserve">10. </w:t>
            </w:r>
          </w:p>
        </w:tc>
        <w:tc>
          <w:tcPr>
            <w:tcW w:w="702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  <w:t xml:space="preserve">«Подъезд к г. Тюмень» - Першино - Ягодная - Бралгина в Белозерском муниципальном округе Курганской области на участке </w:t>
            </w:r>
            <w:r>
              <w:rPr>
                <w:rFonts w:cs="Arial" w:ascii="Times New Roman" w:hAnsi="Times New Roman"/>
                <w:sz w:val="24"/>
                <w:szCs w:val="24"/>
              </w:rPr>
              <w:t>к</w:t>
            </w:r>
            <w:r>
              <w:rPr>
                <w:rFonts w:cs="Arial" w:ascii="Times New Roman" w:hAnsi="Times New Roman"/>
                <w:sz w:val="24"/>
                <w:szCs w:val="24"/>
              </w:rPr>
              <w:t>м 2+729</w:t>
            </w:r>
          </w:p>
        </w:tc>
        <w:tc>
          <w:tcPr>
            <w:tcW w:w="210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6804" w:leader="none"/>
              </w:tabs>
              <w:spacing w:before="0" w:after="200"/>
              <w:jc w:val="center"/>
              <w:rPr>
                <w:rFonts w:ascii="Times New Roman" w:hAnsi="Times New Roman" w:eastAsia="Basic Roman" w:cs="Times New Roman"/>
                <w:sz w:val="24"/>
                <w:szCs w:val="24"/>
                <w:lang w:eastAsia="en-US" w:bidi="ar-SA"/>
              </w:rPr>
            </w:pPr>
            <w:r>
              <w:rPr>
                <w:rFonts w:eastAsia="Basic Roman" w:cs="Times New Roman" w:ascii="Times New Roman" w:hAnsi="Times New Roman"/>
                <w:sz w:val="24"/>
                <w:szCs w:val="24"/>
                <w:lang w:eastAsia="en-US" w:bidi="ar-SA"/>
              </w:rPr>
              <w:t>объект</w:t>
            </w:r>
          </w:p>
        </w:tc>
      </w:tr>
    </w:tbl>
    <w:p>
      <w:pPr>
        <w:pStyle w:val="Normal"/>
        <w:ind w:firstLine="708"/>
        <w:rPr>
          <w:rFonts w:ascii="Times New Roman" w:hAnsi="Times New Roman" w:eastAsia="Basic Roman" w:cs="Times New Roman"/>
          <w:b/>
          <w:bCs/>
          <w:sz w:val="24"/>
          <w:szCs w:val="24"/>
          <w:lang w:bidi="ar-SA"/>
        </w:rPr>
      </w:pPr>
      <w:r>
        <w:rPr>
          <w:rFonts w:eastAsia="Basic Roman" w:cs="Times New Roman" w:ascii="Times New Roman" w:hAnsi="Times New Roman"/>
          <w:b/>
          <w:bCs/>
          <w:sz w:val="24"/>
          <w:szCs w:val="24"/>
          <w:lang w:bidi="ar-SA"/>
        </w:rPr>
      </w:r>
    </w:p>
    <w:p>
      <w:pPr>
        <w:pStyle w:val="Normal"/>
        <w:widowControl w:val="false"/>
        <w:tabs>
          <w:tab w:val="clear" w:pos="708"/>
          <w:tab w:val="left" w:pos="567" w:leader="none"/>
        </w:tabs>
        <w:suppressAutoHyphens w:val="true"/>
        <w:spacing w:lineRule="auto" w:line="240" w:before="96" w:after="200"/>
        <w:ind w:firstLine="567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Arial" w:cs="Times New Roman" w:ascii="Times New Roman" w:hAnsi="Times New Roman"/>
          <w:b/>
          <w:sz w:val="24"/>
          <w:szCs w:val="24"/>
          <w:lang w:eastAsia="hi-IN" w:bidi="hi-IN"/>
        </w:rPr>
        <w:t xml:space="preserve">Наименование: </w:t>
      </w:r>
      <w:r>
        <w:rPr>
          <w:rFonts w:eastAsia="Arial" w:cs="Times New Roman" w:ascii="Times New Roman" w:hAnsi="Times New Roman"/>
          <w:sz w:val="24"/>
          <w:szCs w:val="24"/>
          <w:lang w:eastAsia="hi-IN" w:bidi="hi-IN"/>
        </w:rPr>
        <w:t>удаленный мониторинг и удаленная техническая поддержка</w:t>
      </w:r>
      <w:r>
        <w:rPr>
          <w:rFonts w:cs="Times New Roman" w:ascii="Times New Roman" w:hAnsi="Times New Roman"/>
          <w:sz w:val="24"/>
          <w:szCs w:val="24"/>
        </w:rPr>
        <w:t xml:space="preserve"> работоспособности системы АПВГК на автомобильных дорогах общего пользования регионального значения Курганской области</w:t>
      </w:r>
    </w:p>
    <w:p>
      <w:pPr>
        <w:pStyle w:val="Normal"/>
        <w:keepNext w:val="true"/>
        <w:numPr>
          <w:ilvl w:val="0"/>
          <w:numId w:val="0"/>
        </w:numPr>
        <w:suppressAutoHyphens w:val="true"/>
        <w:spacing w:lineRule="auto" w:line="240" w:before="96" w:after="0"/>
        <w:jc w:val="both"/>
        <w:outlineLvl w:val="0"/>
        <w:rPr>
          <w:rFonts w:ascii="Times New Roman" w:hAnsi="Times New Roman" w:eastAsia="Arial" w:cs="Times New Roman"/>
          <w:b/>
          <w:sz w:val="24"/>
          <w:szCs w:val="24"/>
          <w:lang w:eastAsia="hi-IN" w:bidi="hi-IN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eastAsia="Arial" w:cs="Times New Roman" w:ascii="Times New Roman" w:hAnsi="Times New Roman"/>
          <w:b/>
          <w:sz w:val="24"/>
          <w:szCs w:val="24"/>
          <w:lang w:eastAsia="hi-IN" w:bidi="hi-IN"/>
        </w:rPr>
        <w:t>Общая характеристика оказываемых услуг: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Arial" w:cs="Times New Roman"/>
          <w:sz w:val="24"/>
          <w:szCs w:val="24"/>
          <w:lang w:eastAsia="hi-IN" w:bidi="hi-IN"/>
        </w:rPr>
      </w:pPr>
      <w:r>
        <w:rPr>
          <w:rFonts w:eastAsia="Basic Roman" w:cs="Times New Roman" w:ascii="Times New Roman" w:hAnsi="Times New Roman"/>
          <w:bCs/>
          <w:color w:val="000000"/>
          <w:sz w:val="24"/>
          <w:szCs w:val="24"/>
          <w:lang w:eastAsia="zh-CN"/>
        </w:rPr>
        <w:t xml:space="preserve">- </w:t>
      </w:r>
      <w:r>
        <w:rPr>
          <w:rFonts w:eastAsia="Arial" w:cs="Times New Roman" w:ascii="Times New Roman" w:hAnsi="Times New Roman"/>
          <w:sz w:val="24"/>
          <w:szCs w:val="24"/>
          <w:lang w:eastAsia="hi-IN" w:bidi="hi-IN"/>
        </w:rPr>
        <w:t>поддержание функциональных и технических характеристик программного обеспечения системы в установленном рабочем диапазоне, согласно технической документации на элементы системы, путем удаленного мониторинга и удаленной технической поддержки программного обеспечения, оперативному восстановлению работоспособности программного обеспечения при сбоях и отказах в работе программного обеспечения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Arial" w:cs="Times New Roman"/>
          <w:sz w:val="24"/>
          <w:szCs w:val="24"/>
          <w:lang w:eastAsia="hi-IN" w:bidi="hi-IN"/>
        </w:rPr>
      </w:pPr>
      <w:r>
        <w:rPr>
          <w:rFonts w:eastAsia="Arial" w:cs="Times New Roman" w:ascii="Times New Roman" w:hAnsi="Times New Roman"/>
          <w:b/>
          <w:sz w:val="24"/>
          <w:szCs w:val="24"/>
          <w:lang w:eastAsia="hi-IN" w:bidi="hi-IN"/>
        </w:rPr>
        <w:t>Срок оказания услуг</w:t>
      </w:r>
      <w:r>
        <w:rPr>
          <w:rFonts w:eastAsia="Arial" w:cs="Times New Roman" w:ascii="Times New Roman" w:hAnsi="Times New Roman"/>
          <w:sz w:val="24"/>
          <w:szCs w:val="24"/>
          <w:lang w:eastAsia="hi-IN" w:bidi="hi-IN"/>
        </w:rPr>
        <w:t>: с 01.0</w:t>
      </w:r>
      <w:r>
        <w:rPr>
          <w:rFonts w:eastAsia="Arial" w:cs="Times New Roman" w:ascii="Times New Roman" w:hAnsi="Times New Roman"/>
          <w:sz w:val="24"/>
          <w:szCs w:val="24"/>
          <w:lang w:eastAsia="hi-IN" w:bidi="hi-IN"/>
        </w:rPr>
        <w:t>8</w:t>
      </w:r>
      <w:r>
        <w:rPr>
          <w:rFonts w:eastAsia="Arial" w:cs="Times New Roman" w:ascii="Times New Roman" w:hAnsi="Times New Roman"/>
          <w:sz w:val="24"/>
          <w:szCs w:val="24"/>
          <w:lang w:eastAsia="hi-IN" w:bidi="hi-IN"/>
        </w:rPr>
        <w:t>.202</w:t>
      </w:r>
      <w:r>
        <w:rPr>
          <w:rFonts w:eastAsia="Arial" w:cs="Times New Roman" w:ascii="Times New Roman" w:hAnsi="Times New Roman"/>
          <w:sz w:val="24"/>
          <w:szCs w:val="24"/>
          <w:lang w:eastAsia="hi-IN" w:bidi="hi-IN"/>
        </w:rPr>
        <w:t>6</w:t>
      </w:r>
      <w:r>
        <w:rPr>
          <w:rFonts w:eastAsia="Arial" w:cs="Times New Roman" w:ascii="Times New Roman" w:hAnsi="Times New Roman"/>
          <w:sz w:val="24"/>
          <w:szCs w:val="24"/>
          <w:lang w:eastAsia="hi-IN" w:bidi="hi-IN"/>
        </w:rPr>
        <w:t xml:space="preserve"> по 31.0</w:t>
      </w:r>
      <w:r>
        <w:rPr>
          <w:rFonts w:eastAsia="Arial" w:cs="Times New Roman" w:ascii="Times New Roman" w:hAnsi="Times New Roman"/>
          <w:sz w:val="24"/>
          <w:szCs w:val="24"/>
          <w:lang w:eastAsia="hi-IN" w:bidi="hi-IN"/>
        </w:rPr>
        <w:t>7</w:t>
      </w:r>
      <w:r>
        <w:rPr>
          <w:rFonts w:eastAsia="Arial" w:cs="Times New Roman" w:ascii="Times New Roman" w:hAnsi="Times New Roman"/>
          <w:sz w:val="24"/>
          <w:szCs w:val="24"/>
          <w:lang w:eastAsia="hi-IN" w:bidi="hi-IN"/>
        </w:rPr>
        <w:t>.202</w:t>
      </w:r>
      <w:r>
        <w:rPr>
          <w:rFonts w:eastAsia="Arial" w:cs="Times New Roman" w:ascii="Times New Roman" w:hAnsi="Times New Roman"/>
          <w:sz w:val="24"/>
          <w:szCs w:val="24"/>
          <w:lang w:eastAsia="hi-IN" w:bidi="hi-IN"/>
        </w:rPr>
        <w:t>7</w:t>
      </w:r>
      <w:r>
        <w:rPr>
          <w:rFonts w:eastAsia="Arial" w:cs="Times New Roman" w:ascii="Times New Roman" w:hAnsi="Times New Roman"/>
          <w:sz w:val="24"/>
          <w:szCs w:val="24"/>
          <w:lang w:eastAsia="hi-IN" w:bidi="hi-IN"/>
        </w:rPr>
        <w:t xml:space="preserve"> включительно.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Basic Roman" w:cs="Times New Roman"/>
          <w:color w:val="000000"/>
          <w:sz w:val="24"/>
          <w:szCs w:val="24"/>
          <w:lang w:eastAsia="zh-CN"/>
        </w:rPr>
      </w:pPr>
      <w:r>
        <w:rPr>
          <w:rFonts w:eastAsia="Basic Roman" w:cs="Times New Roman" w:ascii="Times New Roman" w:hAnsi="Times New Roman"/>
          <w:color w:val="000000"/>
          <w:sz w:val="24"/>
          <w:szCs w:val="24"/>
          <w:lang w:eastAsia="zh-CN"/>
        </w:rPr>
      </w:r>
    </w:p>
    <w:tbl>
      <w:tblPr>
        <w:tblpPr w:vertAnchor="text" w:horzAnchor="margin" w:leftFromText="180" w:rightFromText="180" w:tblpX="0" w:tblpY="310"/>
        <w:tblW w:w="9315" w:type="dxa"/>
        <w:jc w:val="start"/>
        <w:tblInd w:w="-5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2445"/>
        <w:gridCol w:w="6870"/>
      </w:tblGrid>
      <w:tr>
        <w:trPr>
          <w:trHeight w:val="1755" w:hRule="atLeast"/>
        </w:trPr>
        <w:tc>
          <w:tcPr>
            <w:tcW w:w="244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suppressAutoHyphens w:val="true"/>
              <w:spacing w:lineRule="auto" w:line="240" w:before="0" w:after="0"/>
              <w:ind w:hanging="0" w:start="0"/>
              <w:jc w:val="center"/>
              <w:rPr>
                <w:rFonts w:ascii="Times New Roman" w:hAnsi="Times New Roman" w:eastAsia="Basic Roman" w:cs="Times New Roman"/>
                <w:b/>
                <w:color w:val="000000"/>
                <w:kern w:val="0"/>
                <w:sz w:val="24"/>
                <w:szCs w:val="24"/>
                <w:lang w:val="ru-RU" w:eastAsia="zh-CN" w:bidi="ar-SA"/>
              </w:rPr>
            </w:pPr>
            <w:r>
              <w:rPr>
                <w:rFonts w:eastAsia="Basic Roman" w:cs="Times New Roman" w:ascii="Times New Roman" w:hAnsi="Times New Roman"/>
                <w:b/>
                <w:color w:val="000000"/>
                <w:kern w:val="0"/>
                <w:sz w:val="24"/>
                <w:szCs w:val="24"/>
                <w:lang w:val="ru-RU" w:eastAsia="zh-CN" w:bidi="ar-SA"/>
              </w:rPr>
              <w:t>Автоматический пункт весогабаритного контроля (АПВГК)</w:t>
            </w:r>
          </w:p>
        </w:tc>
        <w:tc>
          <w:tcPr>
            <w:tcW w:w="68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709"/>
              <w:jc w:val="both"/>
              <w:rPr>
                <w:rFonts w:ascii="Times New Roman" w:hAnsi="Times New Roman" w:eastAsia="Basic Roman" w:cs="Times New Roman"/>
                <w:color w:val="000000"/>
                <w:kern w:val="0"/>
                <w:sz w:val="24"/>
                <w:szCs w:val="24"/>
                <w:lang w:val="ru-RU" w:eastAsia="zh-CN" w:bidi="ar-SA"/>
              </w:rPr>
            </w:pPr>
            <w:r>
              <w:rPr>
                <w:rFonts w:eastAsia="Basic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zh-CN" w:bidi="ar-SA"/>
              </w:rPr>
              <w:t>Системы дорожные весового и габаритного контроля «СВК» производства компании АО «ВИК «ТЕНЗО-М» являющиеся сертифицированным средством измерения веса и габаритных размеров и предназначенный для измерения в автоматическом режиме весовых и габаритных параметров движущихся транспортных средств</w:t>
            </w:r>
          </w:p>
        </w:tc>
      </w:tr>
      <w:tr>
        <w:trPr>
          <w:trHeight w:val="622" w:hRule="atLeast"/>
        </w:trPr>
        <w:tc>
          <w:tcPr>
            <w:tcW w:w="244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suppressAutoHyphens w:val="true"/>
              <w:spacing w:lineRule="auto" w:line="240" w:before="0" w:after="0"/>
              <w:ind w:hanging="0" w:start="0"/>
              <w:jc w:val="center"/>
              <w:rPr>
                <w:rFonts w:ascii="Calibri" w:hAnsi="Calibri"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Basic Roman" w:cs="Times New Roman" w:ascii="Times New Roman" w:hAnsi="Times New Roman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  <w:t xml:space="preserve">Система </w:t>
            </w:r>
            <w:r>
              <w:rPr>
                <w:rFonts w:eastAsia="Basic Roman" w:cs="Times New Roman" w:ascii="Times New Roman" w:hAnsi="Times New Roman"/>
                <w:b/>
                <w:color w:val="000000"/>
                <w:kern w:val="0"/>
                <w:sz w:val="24"/>
                <w:szCs w:val="24"/>
                <w:lang w:val="ru-RU" w:eastAsia="zh-CN" w:bidi="ar-SA"/>
              </w:rPr>
              <w:t>Весового контроля (СВК)</w:t>
            </w:r>
          </w:p>
        </w:tc>
        <w:tc>
          <w:tcPr>
            <w:tcW w:w="687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709"/>
              <w:jc w:val="both"/>
              <w:rPr>
                <w:rFonts w:ascii="Times New Roman" w:hAnsi="Times New Roman" w:eastAsia="Basic Roman" w:cs="Times New Roman"/>
                <w:color w:val="000000"/>
                <w:kern w:val="0"/>
                <w:sz w:val="24"/>
                <w:szCs w:val="24"/>
                <w:lang w:val="ru-RU" w:eastAsia="zh-CN" w:bidi="ar-SA"/>
              </w:rPr>
            </w:pPr>
            <w:r>
              <w:rPr>
                <w:rFonts w:eastAsia="Basic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zh-CN" w:bidi="ar-SA"/>
              </w:rPr>
              <w:t>Система дорожная весового и габаритного контроля</w:t>
            </w:r>
          </w:p>
        </w:tc>
      </w:tr>
      <w:tr>
        <w:trPr>
          <w:trHeight w:val="1183" w:hRule="atLeast"/>
        </w:trPr>
        <w:tc>
          <w:tcPr>
            <w:tcW w:w="244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suppressAutoHyphens w:val="true"/>
              <w:spacing w:lineRule="auto" w:line="240" w:before="0" w:after="0"/>
              <w:ind w:hanging="0" w:start="0"/>
              <w:jc w:val="center"/>
              <w:rPr>
                <w:rFonts w:ascii="Times New Roman" w:hAnsi="Times New Roman" w:eastAsia="Basic Roman" w:cs="Times New Roman"/>
                <w:b/>
                <w:color w:val="000000"/>
                <w:kern w:val="0"/>
                <w:sz w:val="24"/>
                <w:szCs w:val="24"/>
                <w:lang w:val="ru-RU" w:eastAsia="zh-CN" w:bidi="ar-SA"/>
              </w:rPr>
            </w:pPr>
            <w:r>
              <w:rPr>
                <w:rFonts w:eastAsia="Basic Roman" w:cs="Times New Roman" w:ascii="Times New Roman" w:hAnsi="Times New Roman"/>
                <w:b/>
                <w:color w:val="000000"/>
                <w:kern w:val="0"/>
                <w:sz w:val="24"/>
                <w:szCs w:val="24"/>
                <w:lang w:val="ru-RU" w:eastAsia="zh-CN" w:bidi="ar-SA"/>
              </w:rPr>
              <w:t>Оборудование</w:t>
            </w:r>
          </w:p>
        </w:tc>
        <w:tc>
          <w:tcPr>
            <w:tcW w:w="687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709"/>
              <w:jc w:val="both"/>
              <w:rPr>
                <w:rFonts w:ascii="Times New Roman" w:hAnsi="Times New Roman" w:eastAsia="Basic Roman" w:cs="Times New Roman"/>
                <w:color w:val="000000"/>
                <w:kern w:val="0"/>
                <w:sz w:val="24"/>
                <w:szCs w:val="24"/>
                <w:lang w:val="ru-RU" w:eastAsia="zh-CN" w:bidi="ar-SA"/>
              </w:rPr>
            </w:pPr>
            <w:r>
              <w:rPr>
                <w:rFonts w:eastAsia="Basic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zh-CN" w:bidi="ar-SA"/>
              </w:rPr>
              <w:t>Автоматические пункты весогабаритного контроля, технические средства организации дорожного движения, табло переменной информации, система охранного видеонаблюдения, оборудование передачи данных</w:t>
            </w:r>
          </w:p>
        </w:tc>
      </w:tr>
      <w:tr>
        <w:trPr>
          <w:trHeight w:val="20" w:hRule="atLeast"/>
        </w:trPr>
        <w:tc>
          <w:tcPr>
            <w:tcW w:w="244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suppressAutoHyphens w:val="true"/>
              <w:spacing w:lineRule="auto" w:line="240" w:before="0" w:after="0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kern w:val="0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kern w:val="0"/>
                <w:sz w:val="24"/>
                <w:szCs w:val="24"/>
                <w:lang w:val="ru-RU" w:eastAsia="zh-CN" w:bidi="ar-SA"/>
              </w:rPr>
              <w:t>ГРЗ</w:t>
            </w:r>
          </w:p>
        </w:tc>
        <w:tc>
          <w:tcPr>
            <w:tcW w:w="687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709"/>
              <w:jc w:val="both"/>
              <w:rPr>
                <w:rFonts w:ascii="Times New Roman" w:hAnsi="Times New Roman" w:eastAsia="Basic Roman" w:cs="Times New Roman"/>
                <w:color w:val="000000"/>
                <w:kern w:val="0"/>
                <w:sz w:val="24"/>
                <w:szCs w:val="24"/>
                <w:lang w:val="ru-RU" w:eastAsia="zh-CN" w:bidi="ar-SA"/>
              </w:rPr>
            </w:pPr>
            <w:r>
              <w:rPr>
                <w:rFonts w:eastAsia="Basic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zh-CN" w:bidi="ar-SA"/>
              </w:rPr>
              <w:t>Государственный регистрационный знак;</w:t>
            </w:r>
          </w:p>
        </w:tc>
      </w:tr>
      <w:tr>
        <w:trPr>
          <w:trHeight w:val="20" w:hRule="atLeast"/>
        </w:trPr>
        <w:tc>
          <w:tcPr>
            <w:tcW w:w="244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suppressAutoHyphens w:val="true"/>
              <w:spacing w:lineRule="auto" w:line="240" w:before="0" w:after="0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kern w:val="0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kern w:val="0"/>
                <w:sz w:val="24"/>
                <w:szCs w:val="24"/>
                <w:lang w:val="ru-RU" w:eastAsia="zh-CN" w:bidi="ar-SA"/>
              </w:rPr>
              <w:t>ЛВС</w:t>
            </w:r>
          </w:p>
        </w:tc>
        <w:tc>
          <w:tcPr>
            <w:tcW w:w="687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709"/>
              <w:jc w:val="both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zh-CN" w:bidi="ar-SA"/>
              </w:rPr>
              <w:t>Локальная вычислительная сеть</w:t>
            </w:r>
          </w:p>
        </w:tc>
      </w:tr>
      <w:tr>
        <w:trPr>
          <w:trHeight w:val="20" w:hRule="atLeast"/>
        </w:trPr>
        <w:tc>
          <w:tcPr>
            <w:tcW w:w="244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suppressAutoHyphens w:val="true"/>
              <w:spacing w:lineRule="auto" w:line="240" w:before="0" w:after="0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kern w:val="0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kern w:val="0"/>
                <w:sz w:val="24"/>
                <w:szCs w:val="24"/>
                <w:lang w:val="ru-RU" w:eastAsia="zh-CN" w:bidi="ar-SA"/>
              </w:rPr>
              <w:t>МВР</w:t>
            </w:r>
          </w:p>
        </w:tc>
        <w:tc>
          <w:tcPr>
            <w:tcW w:w="687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709"/>
              <w:jc w:val="both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zh-CN" w:bidi="ar-SA"/>
              </w:rPr>
              <w:t>Модуль фотофиксации ТС и распознавания ГРЗ ТС. Состоит из одной или нескольких видеокамер, а также инфракрасных прожекторов.</w:t>
            </w:r>
          </w:p>
        </w:tc>
      </w:tr>
      <w:tr>
        <w:trPr>
          <w:trHeight w:val="20" w:hRule="atLeast"/>
        </w:trPr>
        <w:tc>
          <w:tcPr>
            <w:tcW w:w="244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suppressAutoHyphens w:val="true"/>
              <w:spacing w:lineRule="auto" w:line="240" w:before="0" w:after="0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kern w:val="0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kern w:val="0"/>
                <w:sz w:val="24"/>
                <w:szCs w:val="24"/>
                <w:lang w:val="ru-RU" w:eastAsia="zh-CN" w:bidi="ar-SA"/>
              </w:rPr>
              <w:t>МИГ</w:t>
            </w:r>
          </w:p>
        </w:tc>
        <w:tc>
          <w:tcPr>
            <w:tcW w:w="687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709"/>
              <w:jc w:val="both"/>
              <w:rPr>
                <w:rFonts w:ascii="Times New Roman" w:hAnsi="Times New Roman" w:eastAsia="Basic Roman" w:cs="Times New Roman"/>
                <w:color w:val="000000"/>
                <w:kern w:val="0"/>
                <w:sz w:val="24"/>
                <w:szCs w:val="24"/>
                <w:lang w:val="ru-RU" w:eastAsia="zh-CN" w:bidi="ar-SA"/>
              </w:rPr>
            </w:pPr>
            <w:r>
              <w:rPr>
                <w:rFonts w:eastAsia="Basic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zh-CN" w:bidi="ar-SA"/>
              </w:rPr>
              <w:t>Модуль измерения габаритных размеров ТС</w:t>
            </w:r>
          </w:p>
        </w:tc>
      </w:tr>
      <w:tr>
        <w:trPr>
          <w:trHeight w:val="20" w:hRule="atLeast"/>
        </w:trPr>
        <w:tc>
          <w:tcPr>
            <w:tcW w:w="244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suppressAutoHyphens w:val="true"/>
              <w:spacing w:lineRule="auto" w:line="240" w:before="0" w:after="0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kern w:val="0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kern w:val="0"/>
                <w:sz w:val="24"/>
                <w:szCs w:val="24"/>
                <w:lang w:val="ru-RU" w:eastAsia="zh-CN" w:bidi="ar-SA"/>
              </w:rPr>
              <w:t>МПС</w:t>
            </w:r>
          </w:p>
        </w:tc>
        <w:tc>
          <w:tcPr>
            <w:tcW w:w="687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709"/>
              <w:jc w:val="both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zh-CN" w:bidi="ar-SA"/>
              </w:rPr>
              <w:t>Модуль позиционирования и определение числа колес (скатов) на оси ТС</w:t>
            </w:r>
          </w:p>
        </w:tc>
      </w:tr>
      <w:tr>
        <w:trPr>
          <w:trHeight w:val="20" w:hRule="atLeast"/>
        </w:trPr>
        <w:tc>
          <w:tcPr>
            <w:tcW w:w="244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suppressAutoHyphens w:val="true"/>
              <w:spacing w:lineRule="auto" w:line="240" w:before="0" w:after="0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kern w:val="0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kern w:val="0"/>
                <w:sz w:val="24"/>
                <w:szCs w:val="24"/>
                <w:lang w:val="ru-RU" w:eastAsia="zh-CN" w:bidi="ar-SA"/>
              </w:rPr>
              <w:t>ПО</w:t>
            </w:r>
          </w:p>
        </w:tc>
        <w:tc>
          <w:tcPr>
            <w:tcW w:w="687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709"/>
              <w:jc w:val="both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zh-CN" w:bidi="ar-SA"/>
              </w:rPr>
              <w:t>Программное обеспечение</w:t>
            </w:r>
          </w:p>
        </w:tc>
      </w:tr>
      <w:tr>
        <w:trPr>
          <w:trHeight w:val="264" w:hRule="atLeast"/>
        </w:trPr>
        <w:tc>
          <w:tcPr>
            <w:tcW w:w="244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suppressAutoHyphens w:val="true"/>
              <w:spacing w:lineRule="auto" w:line="240" w:before="0" w:after="0"/>
              <w:ind w:firstLine="709"/>
              <w:jc w:val="center"/>
              <w:rPr>
                <w:rFonts w:ascii="Times New Roman" w:hAnsi="Times New Roman" w:eastAsia="Basic Roman" w:cs="Times New Roman"/>
                <w:b/>
                <w:bCs/>
                <w:color w:val="000000"/>
                <w:kern w:val="0"/>
                <w:sz w:val="24"/>
                <w:szCs w:val="24"/>
                <w:lang w:val="ru-RU" w:eastAsia="zh-CN" w:bidi="ar-SA"/>
              </w:rPr>
            </w:pPr>
            <w:r>
              <w:rPr>
                <w:rFonts w:eastAsia="Basic Roman" w:cs="Times New Roman" w:ascii="Times New Roman" w:hAnsi="Times New Roman"/>
                <w:b/>
                <w:bCs/>
                <w:color w:val="000000"/>
                <w:kern w:val="0"/>
                <w:sz w:val="24"/>
                <w:szCs w:val="24"/>
                <w:lang w:val="ru-RU" w:eastAsia="zh-CN" w:bidi="ar-SA"/>
              </w:rPr>
              <w:t>ТС</w:t>
            </w:r>
          </w:p>
        </w:tc>
        <w:tc>
          <w:tcPr>
            <w:tcW w:w="687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709"/>
              <w:jc w:val="both"/>
              <w:rPr>
                <w:rFonts w:ascii="Times New Roman" w:hAnsi="Times New Roman" w:eastAsia="Basic Roman" w:cs="Times New Roman"/>
                <w:color w:val="000000"/>
                <w:kern w:val="0"/>
                <w:sz w:val="24"/>
                <w:szCs w:val="24"/>
                <w:lang w:val="ru-RU" w:eastAsia="zh-CN" w:bidi="ar-SA"/>
              </w:rPr>
            </w:pPr>
            <w:r>
              <w:rPr>
                <w:rFonts w:eastAsia="Basic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zh-CN" w:bidi="ar-SA"/>
              </w:rPr>
              <w:t>Транспортное средство;</w:t>
            </w:r>
          </w:p>
        </w:tc>
      </w:tr>
      <w:tr>
        <w:trPr>
          <w:trHeight w:val="20" w:hRule="atLeast"/>
        </w:trPr>
        <w:tc>
          <w:tcPr>
            <w:tcW w:w="244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suppressAutoHyphens w:val="true"/>
              <w:spacing w:lineRule="auto" w:line="240" w:before="0" w:after="0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kern w:val="0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kern w:val="0"/>
                <w:sz w:val="24"/>
                <w:szCs w:val="24"/>
                <w:lang w:val="ru-RU" w:eastAsia="zh-CN" w:bidi="ar-SA"/>
              </w:rPr>
              <w:t>СМ</w:t>
            </w:r>
          </w:p>
        </w:tc>
        <w:tc>
          <w:tcPr>
            <w:tcW w:w="687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709"/>
              <w:jc w:val="both"/>
              <w:rPr>
                <w:rFonts w:ascii="Times New Roman" w:hAnsi="Times New Roman" w:eastAsia="Basic Roman" w:cs="Times New Roman"/>
                <w:color w:val="000000"/>
                <w:kern w:val="0"/>
                <w:sz w:val="24"/>
                <w:szCs w:val="24"/>
                <w:lang w:val="ru-RU" w:eastAsia="zh-CN" w:bidi="ar-SA"/>
              </w:rPr>
            </w:pPr>
            <w:r>
              <w:rPr>
                <w:rFonts w:eastAsia="Basic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zh-CN" w:bidi="ar-SA"/>
              </w:rPr>
              <w:t>Силоприемный модуль. Основной элемент СВК.</w:t>
            </w:r>
          </w:p>
        </w:tc>
      </w:tr>
      <w:tr>
        <w:trPr>
          <w:trHeight w:val="20" w:hRule="atLeast"/>
        </w:trPr>
        <w:tc>
          <w:tcPr>
            <w:tcW w:w="244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suppressAutoHyphens w:val="true"/>
              <w:spacing w:lineRule="auto" w:line="240" w:before="0" w:after="0"/>
              <w:ind w:firstLine="709"/>
              <w:jc w:val="center"/>
              <w:rPr>
                <w:rFonts w:ascii="Times New Roman" w:hAnsi="Times New Roman" w:eastAsia="Basic Roman" w:cs="Times New Roman"/>
                <w:b/>
                <w:bCs/>
                <w:color w:val="000000"/>
                <w:kern w:val="0"/>
                <w:sz w:val="24"/>
                <w:szCs w:val="24"/>
                <w:lang w:val="ru-RU" w:eastAsia="zh-CN" w:bidi="ar-SA"/>
              </w:rPr>
            </w:pPr>
            <w:r>
              <w:rPr>
                <w:rFonts w:eastAsia="Basic Roman" w:cs="Times New Roman" w:ascii="Times New Roman" w:hAnsi="Times New Roman"/>
                <w:b/>
                <w:bCs/>
                <w:color w:val="000000"/>
                <w:kern w:val="0"/>
                <w:sz w:val="24"/>
                <w:szCs w:val="24"/>
                <w:lang w:val="ru-RU" w:eastAsia="zh-CN" w:bidi="ar-SA"/>
              </w:rPr>
              <w:t>ШЭ</w:t>
            </w:r>
          </w:p>
        </w:tc>
        <w:tc>
          <w:tcPr>
            <w:tcW w:w="687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709"/>
              <w:jc w:val="both"/>
              <w:rPr>
                <w:rFonts w:ascii="Times New Roman" w:hAnsi="Times New Roman" w:eastAsia="Basic Roman" w:cs="Times New Roman"/>
                <w:color w:val="000000"/>
                <w:kern w:val="0"/>
                <w:sz w:val="24"/>
                <w:szCs w:val="24"/>
                <w:lang w:val="ru-RU" w:eastAsia="zh-CN" w:bidi="ar-SA"/>
              </w:rPr>
            </w:pPr>
            <w:r>
              <w:rPr>
                <w:rFonts w:eastAsia="Basic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zh-CN" w:bidi="ar-SA"/>
              </w:rPr>
              <w:t>Шкаф с электронной частью СВК.</w:t>
            </w:r>
          </w:p>
        </w:tc>
      </w:tr>
      <w:tr>
        <w:trPr>
          <w:trHeight w:val="20" w:hRule="atLeast"/>
        </w:trPr>
        <w:tc>
          <w:tcPr>
            <w:tcW w:w="244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suppressAutoHyphens w:val="true"/>
              <w:spacing w:lineRule="auto" w:line="240" w:before="0" w:after="0"/>
              <w:ind w:firstLine="709"/>
              <w:jc w:val="center"/>
              <w:rPr>
                <w:rFonts w:ascii="Times New Roman" w:hAnsi="Times New Roman" w:eastAsia="Basic Roman" w:cs="Times New Roman"/>
                <w:b/>
                <w:bCs/>
                <w:color w:val="000000"/>
                <w:kern w:val="0"/>
                <w:sz w:val="24"/>
                <w:szCs w:val="24"/>
                <w:lang w:val="ru-RU" w:eastAsia="zh-CN" w:bidi="ar-SA"/>
              </w:rPr>
            </w:pPr>
            <w:r>
              <w:rPr>
                <w:rFonts w:eastAsia="Basic Roman" w:cs="Times New Roman" w:ascii="Times New Roman" w:hAnsi="Times New Roman"/>
                <w:b/>
                <w:bCs/>
                <w:color w:val="000000"/>
                <w:kern w:val="0"/>
                <w:sz w:val="24"/>
                <w:szCs w:val="24"/>
                <w:lang w:val="ru-RU" w:eastAsia="zh-CN" w:bidi="ar-SA"/>
              </w:rPr>
              <w:t>АПК</w:t>
            </w:r>
          </w:p>
        </w:tc>
        <w:tc>
          <w:tcPr>
            <w:tcW w:w="687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709"/>
              <w:jc w:val="both"/>
              <w:rPr>
                <w:rFonts w:ascii="Times New Roman" w:hAnsi="Times New Roman" w:eastAsia="Basic Roman" w:cs="Times New Roman"/>
                <w:color w:val="000000"/>
                <w:kern w:val="0"/>
                <w:sz w:val="24"/>
                <w:szCs w:val="24"/>
                <w:lang w:val="ru-RU" w:eastAsia="zh-CN" w:bidi="ar-SA"/>
              </w:rPr>
            </w:pPr>
            <w:r>
              <w:rPr>
                <w:rFonts w:eastAsia="Basic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zh-CN" w:bidi="ar-SA"/>
              </w:rPr>
              <w:t>Аппаратно программный комплекс</w:t>
            </w:r>
          </w:p>
        </w:tc>
      </w:tr>
      <w:tr>
        <w:trPr>
          <w:trHeight w:val="20" w:hRule="atLeast"/>
        </w:trPr>
        <w:tc>
          <w:tcPr>
            <w:tcW w:w="244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suppressAutoHyphens w:val="true"/>
              <w:spacing w:lineRule="auto" w:line="240" w:before="0" w:after="0"/>
              <w:ind w:firstLine="709"/>
              <w:jc w:val="center"/>
              <w:rPr>
                <w:rFonts w:ascii="Times New Roman" w:hAnsi="Times New Roman" w:eastAsia="Basic Roman" w:cs="Times New Roman"/>
                <w:b/>
                <w:bCs/>
                <w:color w:val="000000"/>
                <w:kern w:val="0"/>
                <w:sz w:val="24"/>
                <w:szCs w:val="24"/>
                <w:lang w:val="ru-RU" w:eastAsia="zh-CN" w:bidi="ar-SA"/>
              </w:rPr>
            </w:pPr>
            <w:r>
              <w:rPr>
                <w:rFonts w:eastAsia="Basic Roman" w:cs="Times New Roman" w:ascii="Times New Roman" w:hAnsi="Times New Roman"/>
                <w:b/>
                <w:bCs/>
                <w:color w:val="000000"/>
                <w:kern w:val="0"/>
                <w:sz w:val="24"/>
                <w:szCs w:val="24"/>
                <w:lang w:val="ru-RU" w:eastAsia="zh-CN" w:bidi="ar-SA"/>
              </w:rPr>
              <w:t>УСВ</w:t>
            </w:r>
          </w:p>
        </w:tc>
        <w:tc>
          <w:tcPr>
            <w:tcW w:w="687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709"/>
              <w:jc w:val="both"/>
              <w:rPr>
                <w:rFonts w:ascii="Times New Roman" w:hAnsi="Times New Roman" w:eastAsia="Basic Roman" w:cs="Times New Roman"/>
                <w:color w:val="000000"/>
                <w:kern w:val="0"/>
                <w:sz w:val="24"/>
                <w:szCs w:val="24"/>
                <w:lang w:val="ru-RU" w:eastAsia="zh-CN" w:bidi="ar-SA"/>
              </w:rPr>
            </w:pPr>
            <w:r>
              <w:rPr>
                <w:rFonts w:eastAsia="Basic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zh-CN" w:bidi="ar-SA"/>
              </w:rPr>
              <w:t>Устройство синхронизации времени</w:t>
            </w:r>
          </w:p>
        </w:tc>
      </w:tr>
      <w:tr>
        <w:trPr>
          <w:trHeight w:val="20" w:hRule="atLeast"/>
        </w:trPr>
        <w:tc>
          <w:tcPr>
            <w:tcW w:w="244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suppressAutoHyphens w:val="true"/>
              <w:spacing w:lineRule="auto" w:line="240" w:before="0" w:after="0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kern w:val="0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kern w:val="0"/>
                <w:sz w:val="24"/>
                <w:szCs w:val="24"/>
                <w:lang w:val="ru-RU" w:eastAsia="zh-CN" w:bidi="ar-SA"/>
              </w:rPr>
              <w:t>ИС</w:t>
            </w:r>
          </w:p>
        </w:tc>
        <w:tc>
          <w:tcPr>
            <w:tcW w:w="687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709"/>
              <w:jc w:val="both"/>
              <w:rPr>
                <w:rFonts w:ascii="Times New Roman" w:hAnsi="Times New Roman" w:eastAsia="Basic Roman" w:cs="Times New Roman"/>
                <w:color w:val="000000"/>
                <w:kern w:val="0"/>
                <w:sz w:val="24"/>
                <w:szCs w:val="24"/>
                <w:lang w:val="ru-RU" w:eastAsia="zh-CN" w:bidi="ar-SA"/>
              </w:rPr>
            </w:pPr>
            <w:r>
              <w:rPr>
                <w:rFonts w:eastAsia="Basic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zh-CN" w:bidi="ar-SA"/>
              </w:rPr>
              <w:t>Информационная система</w:t>
            </w:r>
          </w:p>
        </w:tc>
      </w:tr>
      <w:tr>
        <w:trPr>
          <w:trHeight w:val="20" w:hRule="atLeast"/>
        </w:trPr>
        <w:tc>
          <w:tcPr>
            <w:tcW w:w="244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start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kern w:val="0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kern w:val="0"/>
                <w:sz w:val="24"/>
                <w:szCs w:val="24"/>
                <w:lang w:val="ru-RU" w:eastAsia="zh-CN" w:bidi="ar-SA"/>
              </w:rPr>
              <w:t>Государственный заказчик</w:t>
            </w:r>
          </w:p>
        </w:tc>
        <w:tc>
          <w:tcPr>
            <w:tcW w:w="687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both"/>
              <w:rPr>
                <w:rFonts w:ascii="Times New Roman" w:hAnsi="Times New Roman" w:eastAsia="Basic Roman" w:cs="Times New Roman"/>
                <w:color w:val="000000"/>
                <w:kern w:val="0"/>
                <w:sz w:val="24"/>
                <w:szCs w:val="24"/>
                <w:lang w:val="ru-RU" w:eastAsia="zh-CN" w:bidi="ar-SA"/>
              </w:rPr>
            </w:pPr>
            <w:r>
              <w:rPr>
                <w:rFonts w:eastAsia="Basic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zh-CN" w:bidi="ar-SA"/>
              </w:rPr>
              <w:t xml:space="preserve">ГКУ «Курганавтодор» </w:t>
            </w:r>
          </w:p>
        </w:tc>
      </w:tr>
    </w:tbl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Basic Roman" w:cs="Times New Roman"/>
          <w:color w:val="000000"/>
          <w:sz w:val="24"/>
          <w:szCs w:val="24"/>
          <w:lang w:eastAsia="zh-CN"/>
        </w:rPr>
      </w:pPr>
      <w:r/>
      <w:r>
        <w:rPr>
          <w:rFonts w:eastAsia="Basic Roman" w:cs="Times New Roman" w:ascii="Times New Roman" w:hAnsi="Times New Roman"/>
          <w:color w:val="000000"/>
          <w:sz w:val="24"/>
          <w:szCs w:val="24"/>
          <w:lang w:eastAsia="zh-CN"/>
        </w:rPr>
        <w:t>Перечень сокращений, используемых в техническом задании:</w:t>
      </w:r>
    </w:p>
    <w:p>
      <w:pPr>
        <w:pStyle w:val="Normal"/>
        <w:spacing w:lineRule="auto" w:line="240" w:before="0" w:after="0"/>
        <w:rPr>
          <w:rFonts w:ascii="Times New Roman" w:hAnsi="Times New Roman" w:eastAsia="Basic Roman" w:cs="Times New Roman"/>
          <w:b/>
          <w:color w:val="000000"/>
          <w:sz w:val="24"/>
          <w:szCs w:val="24"/>
          <w:lang w:eastAsia="zh-CN"/>
        </w:rPr>
      </w:pPr>
      <w:r>
        <w:rPr>
          <w:rFonts w:eastAsia="Basic Roman" w:cs="Times New Roman" w:ascii="Times New Roman" w:hAnsi="Times New Roman"/>
          <w:b/>
          <w:color w:val="000000"/>
          <w:sz w:val="24"/>
          <w:szCs w:val="24"/>
          <w:lang w:eastAsia="zh-CN"/>
        </w:rPr>
        <w:t xml:space="preserve">                                  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Basic Roman" w:cs="Times New Roman"/>
          <w:b/>
          <w:color w:val="000000"/>
          <w:sz w:val="24"/>
          <w:szCs w:val="24"/>
          <w:lang w:eastAsia="zh-CN"/>
        </w:rPr>
      </w:pPr>
      <w:r>
        <w:rPr>
          <w:rFonts w:eastAsia="Basic Roman" w:cs="Times New Roman" w:ascii="Times New Roman" w:hAnsi="Times New Roman"/>
          <w:b/>
          <w:color w:val="000000"/>
          <w:sz w:val="24"/>
          <w:szCs w:val="24"/>
          <w:lang w:eastAsia="zh-CN"/>
        </w:rPr>
        <w:t xml:space="preserve">  </w:t>
      </w:r>
      <w:r>
        <w:rPr>
          <w:rFonts w:eastAsia="Basic Roman" w:cs="Times New Roman" w:ascii="Times New Roman" w:hAnsi="Times New Roman"/>
          <w:b/>
          <w:color w:val="000000"/>
          <w:sz w:val="24"/>
          <w:szCs w:val="24"/>
          <w:lang w:eastAsia="zh-CN"/>
        </w:rPr>
        <w:t>2. Описание предмета удаленного содержания.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Basic Roman" w:cs="Times New Roman"/>
          <w:b/>
          <w:color w:val="000000"/>
          <w:sz w:val="24"/>
          <w:szCs w:val="24"/>
          <w:lang w:eastAsia="zh-CN"/>
        </w:rPr>
      </w:pPr>
      <w:r>
        <w:rPr>
          <w:rFonts w:eastAsia="Basic Roman" w:cs="Times New Roman" w:ascii="Times New Roman" w:hAnsi="Times New Roman"/>
          <w:b/>
          <w:color w:val="000000"/>
          <w:sz w:val="24"/>
          <w:szCs w:val="24"/>
          <w:lang w:eastAsia="zh-CN"/>
        </w:rPr>
      </w:r>
    </w:p>
    <w:p>
      <w:pPr>
        <w:pStyle w:val="Normal"/>
        <w:spacing w:lineRule="auto" w:line="288" w:before="0" w:after="0"/>
        <w:ind w:firstLine="567"/>
        <w:contextualSpacing/>
        <w:jc w:val="both"/>
        <w:rPr>
          <w:rFonts w:ascii="Times New Roman" w:hAnsi="Times New Roman" w:eastAsia="Basic Roman" w:cs="Times New Roman"/>
          <w:color w:val="000000"/>
          <w:sz w:val="24"/>
          <w:szCs w:val="24"/>
          <w:lang w:eastAsia="zh-CN"/>
        </w:rPr>
      </w:pPr>
      <w:r>
        <w:rPr>
          <w:rFonts w:eastAsia="Basic Roman" w:cs="Times New Roman" w:ascii="Times New Roman" w:hAnsi="Times New Roman"/>
          <w:color w:val="000000"/>
          <w:sz w:val="24"/>
          <w:szCs w:val="24"/>
          <w:shd w:fill="FFFFFF" w:val="clear"/>
          <w:lang w:eastAsia="zh-CN"/>
        </w:rPr>
        <w:t xml:space="preserve"> </w:t>
      </w:r>
      <w:r>
        <w:rPr>
          <w:rFonts w:eastAsia="Basic Roman" w:cs="Times New Roman" w:ascii="Times New Roman" w:hAnsi="Times New Roman"/>
          <w:color w:val="000000"/>
          <w:sz w:val="24"/>
          <w:szCs w:val="24"/>
          <w:shd w:fill="FFFFFF" w:val="clear"/>
          <w:lang w:eastAsia="zh-CN"/>
        </w:rPr>
        <w:t>Удаленное обеспечение стабильности программного обеспечения оборудования СВК в составе автоматических постов весогабаритного контроля (Далее – Объекты) в условиях непрерывной эксплуатации в сложных условиях, поддержание программной работоспособности модулей системы, предупреждение и своевременное устранение искажений, обеспечение работоспособности программного обеспечения.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eastAsia="Basic Roman" w:cs="Times New Roman"/>
          <w:color w:val="000000"/>
          <w:sz w:val="24"/>
          <w:szCs w:val="24"/>
          <w:lang w:eastAsia="zh-CN"/>
        </w:rPr>
      </w:pPr>
      <w:r>
        <w:rPr>
          <w:rFonts w:eastAsia="Basic Roman" w:cs="Times New Roman" w:ascii="Times New Roman" w:hAnsi="Times New Roman"/>
          <w:color w:val="000000"/>
          <w:sz w:val="24"/>
          <w:szCs w:val="24"/>
          <w:lang w:eastAsia="zh-CN"/>
        </w:rPr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Basic Roman" w:cs="Times New Roman"/>
          <w:b/>
          <w:color w:val="000000"/>
          <w:sz w:val="24"/>
          <w:szCs w:val="24"/>
          <w:lang w:eastAsia="zh-CN"/>
        </w:rPr>
      </w:pPr>
      <w:r>
        <w:rPr>
          <w:rFonts w:eastAsia="Basic Roman" w:cs="Times New Roman" w:ascii="Times New Roman" w:hAnsi="Times New Roman"/>
          <w:b/>
          <w:color w:val="000000"/>
          <w:sz w:val="24"/>
          <w:szCs w:val="24"/>
          <w:lang w:eastAsia="zh-CN"/>
        </w:rPr>
        <w:t>3. Содержание и обеспечение функционирования АПВГК.</w:t>
      </w:r>
    </w:p>
    <w:p>
      <w:pPr>
        <w:pStyle w:val="Normal"/>
        <w:widowControl w:val="false"/>
        <w:tabs>
          <w:tab w:val="clear" w:pos="708"/>
          <w:tab w:val="left" w:pos="709" w:leader="none"/>
        </w:tabs>
        <w:spacing w:lineRule="auto" w:line="240" w:before="0" w:after="0"/>
        <w:ind w:firstLine="567"/>
        <w:contextualSpacing/>
        <w:rPr>
          <w:rFonts w:ascii="Times New Roman" w:hAnsi="Times New Roman" w:eastAsia="Basic Roman" w:cs="Times New Roman"/>
          <w:b/>
          <w:color w:val="000000"/>
          <w:sz w:val="24"/>
          <w:szCs w:val="24"/>
          <w:lang w:eastAsia="zh-CN"/>
        </w:rPr>
      </w:pPr>
      <w:r>
        <w:rPr>
          <w:rFonts w:eastAsia="Basic Roman" w:cs="Times New Roman" w:ascii="Times New Roman" w:hAnsi="Times New Roman"/>
          <w:b/>
          <w:color w:val="000000"/>
          <w:sz w:val="24"/>
          <w:szCs w:val="24"/>
          <w:lang w:eastAsia="zh-CN"/>
        </w:rPr>
        <w:t>3.1 Общие положения.</w:t>
      </w:r>
    </w:p>
    <w:p>
      <w:pPr>
        <w:pStyle w:val="Normal"/>
        <w:tabs>
          <w:tab w:val="clear" w:pos="708"/>
          <w:tab w:val="left" w:pos="0" w:leader="none"/>
          <w:tab w:val="left" w:pos="709" w:leader="none"/>
        </w:tabs>
        <w:spacing w:lineRule="auto" w:line="240" w:before="0" w:after="0"/>
        <w:ind w:firstLine="567"/>
        <w:jc w:val="both"/>
        <w:rPr>
          <w:rFonts w:ascii="Times New Roman" w:hAnsi="Times New Roman" w:eastAsia="Basic Roman" w:cs="Times New Roman"/>
          <w:color w:val="000000"/>
          <w:sz w:val="24"/>
          <w:szCs w:val="24"/>
          <w:lang w:eastAsia="zh-CN"/>
        </w:rPr>
      </w:pPr>
      <w:r>
        <w:rPr>
          <w:rFonts w:eastAsia="Basic Roman" w:cs="Times New Roman" w:ascii="Times New Roman" w:hAnsi="Times New Roman"/>
          <w:color w:val="000000"/>
          <w:sz w:val="24"/>
          <w:szCs w:val="24"/>
          <w:lang w:eastAsia="zh-CN"/>
        </w:rPr>
        <w:t>3.1.1. Исполнитель обеспечивает работоспособность программного обеспечения СВК в составе АПВГК и информационное взаимодействие (обмен данными) с информационной системой государственного заказчика.</w:t>
      </w:r>
      <w:r>
        <w:rPr>
          <w:rFonts w:eastAsia="Basic Roman" w:cs="Times New Roman" w:ascii="Times New Roman" w:hAnsi="Times New Roman"/>
          <w:sz w:val="24"/>
          <w:szCs w:val="24"/>
          <w:lang w:eastAsia="zh-CN"/>
        </w:rPr>
        <w:t xml:space="preserve"> </w:t>
      </w:r>
    </w:p>
    <w:p>
      <w:pPr>
        <w:pStyle w:val="Normal"/>
        <w:tabs>
          <w:tab w:val="clear" w:pos="708"/>
          <w:tab w:val="left" w:pos="0" w:leader="none"/>
        </w:tabs>
        <w:spacing w:lineRule="auto" w:line="288" w:before="0" w:after="0"/>
        <w:ind w:firstLine="567"/>
        <w:contextualSpacing/>
        <w:jc w:val="both"/>
        <w:rPr>
          <w:rFonts w:ascii="Times New Roman" w:hAnsi="Times New Roman" w:eastAsia="Basic Roman" w:cs="Times New Roman"/>
          <w:strike/>
          <w:color w:val="000000"/>
          <w:sz w:val="24"/>
          <w:szCs w:val="24"/>
          <w:lang w:eastAsia="zh-CN"/>
        </w:rPr>
      </w:pPr>
      <w:r>
        <w:rPr>
          <w:rFonts w:eastAsia="Basic Roman" w:cs="Times New Roman" w:ascii="Times New Roman" w:hAnsi="Times New Roman"/>
          <w:color w:val="000000"/>
          <w:sz w:val="24"/>
          <w:szCs w:val="24"/>
          <w:lang w:eastAsia="zh-CN"/>
        </w:rPr>
        <w:t xml:space="preserve">3.1.2. Исполнитель своевременно оказывает услуги по удаленному обслуживанию, оперативному восстановлению работоспособности </w:t>
      </w:r>
      <w:r>
        <w:rPr>
          <w:rFonts w:cs="Times New Roman" w:ascii="Times New Roman" w:hAnsi="Times New Roman"/>
          <w:sz w:val="24"/>
          <w:szCs w:val="24"/>
        </w:rPr>
        <w:t>программного обеспечения</w:t>
      </w:r>
      <w:r>
        <w:rPr>
          <w:rFonts w:eastAsia="Basic Roman" w:cs="Times New Roman" w:ascii="Times New Roman" w:hAnsi="Times New Roman"/>
          <w:sz w:val="24"/>
          <w:szCs w:val="24"/>
          <w:lang w:eastAsia="zh-CN"/>
        </w:rPr>
        <w:t xml:space="preserve"> СВК в составе </w:t>
      </w:r>
      <w:r>
        <w:rPr>
          <w:rFonts w:eastAsia="Basic Roman" w:cs="Times New Roman" w:ascii="Times New Roman" w:hAnsi="Times New Roman"/>
          <w:color w:val="000000"/>
          <w:sz w:val="24"/>
          <w:szCs w:val="24"/>
          <w:lang w:eastAsia="zh-CN"/>
        </w:rPr>
        <w:t xml:space="preserve">АПВГК при сбоях и отказах в работе программных средств. Обеспечивает автоматическую выгрузку информации, зафиксированной на </w:t>
      </w:r>
      <w:r>
        <w:rPr>
          <w:rFonts w:eastAsia="Basic Roman" w:cs="Times New Roman" w:ascii="Times New Roman" w:hAnsi="Times New Roman"/>
          <w:sz w:val="24"/>
          <w:szCs w:val="24"/>
          <w:lang w:eastAsia="zh-CN"/>
        </w:rPr>
        <w:t>СВК</w:t>
      </w:r>
      <w:r>
        <w:rPr>
          <w:rFonts w:eastAsia="Basic Roman" w:cs="Times New Roman" w:ascii="Times New Roman" w:hAnsi="Times New Roman"/>
          <w:color w:val="000000"/>
          <w:sz w:val="24"/>
          <w:szCs w:val="24"/>
          <w:lang w:eastAsia="zh-CN"/>
        </w:rPr>
        <w:t xml:space="preserve"> (проезды </w:t>
      </w:r>
      <w:r>
        <w:rPr>
          <w:rFonts w:eastAsia="Basic Roman" w:cs="Times New Roman" w:ascii="Times New Roman" w:hAnsi="Times New Roman"/>
          <w:color w:val="000000"/>
          <w:sz w:val="24"/>
          <w:szCs w:val="24"/>
          <w:u w:val="none"/>
          <w:lang w:eastAsia="zh-CN"/>
        </w:rPr>
        <w:t>транспортных средств</w:t>
      </w:r>
      <w:r>
        <w:rPr>
          <w:rFonts w:eastAsia="Basic Roman" w:cs="Times New Roman" w:ascii="Times New Roman" w:hAnsi="Times New Roman"/>
          <w:color w:val="000000"/>
          <w:sz w:val="24"/>
          <w:szCs w:val="24"/>
          <w:lang w:eastAsia="zh-CN"/>
        </w:rPr>
        <w:t xml:space="preserve">), через каналы связи посредством ВОЛС 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eastAsia="Basic Roman" w:cs="Times New Roman"/>
          <w:color w:val="000000"/>
          <w:sz w:val="24"/>
          <w:szCs w:val="24"/>
          <w:lang w:eastAsia="zh-CN"/>
        </w:rPr>
      </w:pPr>
      <w:r>
        <w:rPr>
          <w:rFonts w:eastAsia="Basic Roman" w:cs="Times New Roman" w:ascii="Times New Roman" w:hAnsi="Times New Roman"/>
          <w:color w:val="000000"/>
          <w:sz w:val="24"/>
          <w:szCs w:val="24"/>
          <w:lang w:eastAsia="zh-CN"/>
        </w:rPr>
        <w:t>3.1.3. Исполнитель обязан осуществлять: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0" w:leader="none"/>
        </w:tabs>
        <w:spacing w:lineRule="auto" w:line="240" w:before="0" w:after="0"/>
        <w:ind w:firstLine="567" w:start="0"/>
        <w:contextualSpacing/>
        <w:jc w:val="both"/>
        <w:rPr>
          <w:rFonts w:ascii="Times New Roman" w:hAnsi="Times New Roman" w:eastAsia="Basic Roman" w:cs="Times New Roman"/>
          <w:color w:val="000000"/>
          <w:sz w:val="24"/>
          <w:szCs w:val="24"/>
          <w:lang w:eastAsia="zh-CN"/>
        </w:rPr>
      </w:pPr>
      <w:r>
        <w:rPr>
          <w:rFonts w:eastAsia="Basic Roman" w:cs="Times New Roman" w:ascii="Times New Roman" w:hAnsi="Times New Roman"/>
          <w:color w:val="000000"/>
          <w:sz w:val="24"/>
          <w:szCs w:val="24"/>
          <w:lang w:eastAsia="zh-CN"/>
        </w:rPr>
        <w:t xml:space="preserve">поддержание программных средств </w:t>
      </w:r>
      <w:r>
        <w:rPr>
          <w:rFonts w:eastAsia="Basic Roman" w:cs="Times New Roman" w:ascii="Times New Roman" w:hAnsi="Times New Roman"/>
          <w:sz w:val="24"/>
          <w:szCs w:val="24"/>
          <w:lang w:eastAsia="zh-CN"/>
        </w:rPr>
        <w:t xml:space="preserve">СВК в составе </w:t>
      </w:r>
      <w:r>
        <w:rPr>
          <w:rFonts w:eastAsia="Basic Roman" w:cs="Times New Roman" w:ascii="Times New Roman" w:hAnsi="Times New Roman"/>
          <w:color w:val="000000"/>
          <w:sz w:val="24"/>
          <w:szCs w:val="24"/>
          <w:lang w:eastAsia="zh-CN"/>
        </w:rPr>
        <w:t>АПВГК в работоспособном состоянии в режиме: 24 часа 7 дней в неделю (круглосуточно), при этом обеспечение бесперебойного функционирования программных средств должно осуществляться без потери существующей гарантии (в случае ее наличия на какой-либо из компонентов);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0" w:leader="none"/>
        </w:tabs>
        <w:spacing w:lineRule="auto" w:line="240" w:before="0" w:after="0"/>
        <w:ind w:firstLine="567" w:start="0"/>
        <w:contextualSpacing/>
        <w:jc w:val="both"/>
        <w:rPr>
          <w:rFonts w:ascii="Times New Roman" w:hAnsi="Times New Roman" w:eastAsia="Basic Roman" w:cs="Times New Roman"/>
          <w:color w:val="000000"/>
          <w:sz w:val="24"/>
          <w:szCs w:val="24"/>
          <w:lang w:eastAsia="zh-CN"/>
        </w:rPr>
      </w:pPr>
      <w:r>
        <w:rPr>
          <w:rFonts w:eastAsia="Basic Roman" w:cs="Times New Roman" w:ascii="Times New Roman" w:hAnsi="Times New Roman"/>
          <w:sz w:val="24"/>
          <w:szCs w:val="24"/>
          <w:lang w:eastAsia="zh-CN"/>
        </w:rPr>
        <w:t>информирование</w:t>
      </w:r>
      <w:r>
        <w:rPr>
          <w:rFonts w:eastAsia="Basic Roman" w:cs="Times New Roman" w:ascii="Times New Roman" w:hAnsi="Times New Roman"/>
          <w:color w:val="000000"/>
          <w:sz w:val="24"/>
          <w:szCs w:val="24"/>
          <w:lang w:eastAsia="zh-CN"/>
        </w:rPr>
        <w:t xml:space="preserve"> заказчика при обнаружении сбоев;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0" w:leader="none"/>
        </w:tabs>
        <w:spacing w:lineRule="auto" w:line="240" w:before="0" w:after="0"/>
        <w:ind w:firstLine="567" w:start="0"/>
        <w:contextualSpacing/>
        <w:jc w:val="both"/>
        <w:rPr>
          <w:rFonts w:ascii="Times New Roman" w:hAnsi="Times New Roman" w:eastAsia="Basic Roman" w:cs="Times New Roman"/>
          <w:color w:val="000000"/>
          <w:sz w:val="24"/>
          <w:szCs w:val="24"/>
          <w:lang w:eastAsia="zh-CN"/>
        </w:rPr>
      </w:pPr>
      <w:r>
        <w:rPr>
          <w:rFonts w:eastAsia="Basic Roman" w:cs="Times New Roman" w:ascii="Times New Roman" w:hAnsi="Times New Roman"/>
          <w:sz w:val="24"/>
          <w:szCs w:val="24"/>
          <w:lang w:eastAsia="zh-CN"/>
        </w:rPr>
        <w:t xml:space="preserve">удалённое </w:t>
      </w:r>
      <w:r>
        <w:rPr>
          <w:rFonts w:eastAsia="Basic Roman" w:cs="Times New Roman" w:ascii="Times New Roman" w:hAnsi="Times New Roman"/>
          <w:color w:val="000000"/>
          <w:sz w:val="24"/>
          <w:szCs w:val="24"/>
          <w:lang w:eastAsia="zh-CN"/>
        </w:rPr>
        <w:t xml:space="preserve">обновление </w:t>
      </w:r>
      <w:bookmarkStart w:id="0" w:name="_Hlk57126955"/>
      <w:r>
        <w:rPr>
          <w:rFonts w:eastAsia="Basic Roman" w:cs="Times New Roman" w:ascii="Times New Roman" w:hAnsi="Times New Roman"/>
          <w:color w:val="000000"/>
          <w:sz w:val="24"/>
          <w:szCs w:val="24"/>
          <w:lang w:eastAsia="zh-CN"/>
        </w:rPr>
        <w:t xml:space="preserve">специализированного программного обеспечения </w:t>
      </w:r>
      <w:r>
        <w:rPr>
          <w:rFonts w:eastAsia="Basic Roman" w:cs="Times New Roman" w:ascii="Times New Roman" w:hAnsi="Times New Roman"/>
          <w:sz w:val="24"/>
          <w:szCs w:val="24"/>
          <w:lang w:eastAsia="zh-CN"/>
        </w:rPr>
        <w:t xml:space="preserve">СВК в составе </w:t>
      </w:r>
      <w:r>
        <w:rPr>
          <w:rFonts w:eastAsia="Basic Roman" w:cs="Times New Roman" w:ascii="Times New Roman" w:hAnsi="Times New Roman"/>
          <w:color w:val="000000"/>
          <w:sz w:val="24"/>
          <w:szCs w:val="24"/>
          <w:lang w:eastAsia="zh-CN"/>
        </w:rPr>
        <w:t xml:space="preserve">АПВГК </w:t>
      </w:r>
      <w:bookmarkEnd w:id="0"/>
      <w:r>
        <w:rPr>
          <w:rFonts w:eastAsia="Basic Roman" w:cs="Times New Roman" w:ascii="Times New Roman" w:hAnsi="Times New Roman"/>
          <w:color w:val="000000"/>
          <w:sz w:val="24"/>
          <w:szCs w:val="24"/>
          <w:lang w:eastAsia="zh-CN"/>
        </w:rPr>
        <w:t xml:space="preserve">в целях корректной </w:t>
      </w:r>
      <w:r>
        <w:rPr>
          <w:rFonts w:eastAsia="Basic Roman" w:cs="Times New Roman" w:ascii="Times New Roman" w:hAnsi="Times New Roman"/>
          <w:sz w:val="24"/>
          <w:szCs w:val="24"/>
          <w:lang w:eastAsia="zh-CN"/>
        </w:rPr>
        <w:t xml:space="preserve">работы </w:t>
      </w:r>
      <w:r>
        <w:rPr>
          <w:rFonts w:cs="Times New Roman" w:ascii="Times New Roman" w:hAnsi="Times New Roman"/>
          <w:sz w:val="24"/>
          <w:szCs w:val="24"/>
        </w:rPr>
        <w:t>программного обеспечения</w:t>
      </w:r>
      <w:r>
        <w:rPr>
          <w:rFonts w:eastAsia="Basic Roman" w:cs="Times New Roman" w:ascii="Times New Roman" w:hAnsi="Times New Roman"/>
          <w:sz w:val="24"/>
          <w:szCs w:val="24"/>
          <w:lang w:eastAsia="zh-CN"/>
        </w:rPr>
        <w:t xml:space="preserve"> СВК.</w:t>
      </w:r>
      <w:r>
        <w:rPr>
          <w:rFonts w:eastAsia="Basic Roman" w:cs="Times New Roman" w:ascii="Times New Roman" w:hAnsi="Times New Roman"/>
          <w:color w:val="000000"/>
          <w:sz w:val="24"/>
          <w:szCs w:val="24"/>
          <w:lang w:eastAsia="zh-CN"/>
        </w:rPr>
        <w:t xml:space="preserve"> 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eastAsia="Basic Roman" w:cs="Times New Roman"/>
          <w:color w:val="000000"/>
          <w:sz w:val="24"/>
          <w:szCs w:val="24"/>
          <w:lang w:eastAsia="zh-CN"/>
        </w:rPr>
      </w:pPr>
      <w:r>
        <w:rPr>
          <w:rFonts w:eastAsia="Basic Roman" w:cs="Times New Roman" w:ascii="Times New Roman" w:hAnsi="Times New Roman"/>
          <w:color w:val="000000"/>
          <w:sz w:val="24"/>
          <w:szCs w:val="24"/>
          <w:lang w:eastAsia="zh-CN"/>
        </w:rPr>
        <w:t xml:space="preserve">3.1.4. Исполнитель ежемесячно готовит и предоставляет Заказчику акт установленной формы за отчетный период (прошедший месяц) с указанием технических сбоев (каких-либо нарушений) в работе </w:t>
      </w:r>
      <w:r>
        <w:rPr>
          <w:rFonts w:cs="Times New Roman" w:ascii="Times New Roman" w:hAnsi="Times New Roman"/>
          <w:sz w:val="24"/>
          <w:szCs w:val="24"/>
        </w:rPr>
        <w:t>программного обеспечения</w:t>
      </w:r>
      <w:r>
        <w:rPr>
          <w:rFonts w:eastAsia="Basic Roman" w:cs="Times New Roman" w:ascii="Times New Roman" w:hAnsi="Times New Roman"/>
          <w:sz w:val="24"/>
          <w:szCs w:val="24"/>
          <w:lang w:eastAsia="zh-CN"/>
        </w:rPr>
        <w:t xml:space="preserve"> СВК в составе</w:t>
      </w:r>
      <w:r>
        <w:rPr>
          <w:rFonts w:eastAsia="Basic Roman" w:cs="Times New Roman" w:ascii="Times New Roman" w:hAnsi="Times New Roman"/>
          <w:color w:val="000000"/>
          <w:sz w:val="24"/>
          <w:szCs w:val="24"/>
          <w:lang w:eastAsia="zh-CN"/>
        </w:rPr>
        <w:t xml:space="preserve"> АПВГК, причин, сопутствующих их совершению, и принятых мер по устранению недостатков и направляет через электронный документооборот в течении одного рабочего дня, следующего за отчетным. В случае отсутствия технических сбоев (нарушений в работе) в акте отражается соответствующая информация.</w:t>
      </w:r>
    </w:p>
    <w:p>
      <w:pPr>
        <w:pStyle w:val="Normal"/>
        <w:spacing w:lineRule="auto" w:line="240" w:before="0" w:after="0"/>
        <w:ind w:firstLine="567"/>
        <w:contextualSpacing/>
        <w:jc w:val="both"/>
        <w:rPr>
          <w:rFonts w:ascii="Times New Roman" w:hAnsi="Times New Roman" w:eastAsia="Basic Roman" w:cs="Times New Roman"/>
          <w:color w:val="FF0000"/>
          <w:sz w:val="24"/>
          <w:szCs w:val="24"/>
          <w:lang w:eastAsia="zh-CN"/>
        </w:rPr>
      </w:pPr>
      <w:r>
        <w:rPr>
          <w:rFonts w:eastAsia="Basic Roman" w:cs="Times New Roman" w:ascii="Times New Roman" w:hAnsi="Times New Roman"/>
          <w:color w:val="000000"/>
          <w:sz w:val="24"/>
          <w:szCs w:val="24"/>
          <w:lang w:eastAsia="zh-CN"/>
        </w:rPr>
        <w:t xml:space="preserve">3.1.5. </w:t>
      </w:r>
      <w:bookmarkStart w:id="1" w:name="_Hlk59443817"/>
      <w:r>
        <w:rPr>
          <w:rFonts w:eastAsia="Basic Roman" w:cs="Times New Roman" w:ascii="Times New Roman" w:hAnsi="Times New Roman"/>
          <w:color w:val="000000"/>
          <w:sz w:val="24"/>
          <w:szCs w:val="24"/>
          <w:lang w:eastAsia="zh-CN"/>
        </w:rPr>
        <w:t xml:space="preserve">Ежемесячно, перед приемкой оказанных услуг Исполнитель формирует отчет о проведенных работах за прошедший период, с приложением подтверждающих материалов и направляет через электронный документооборот. </w:t>
      </w:r>
    </w:p>
    <w:p>
      <w:pPr>
        <w:pStyle w:val="Normal"/>
        <w:spacing w:lineRule="auto" w:line="240" w:before="0" w:after="0"/>
        <w:ind w:firstLine="567"/>
        <w:contextualSpacing/>
        <w:jc w:val="both"/>
        <w:rPr>
          <w:rFonts w:ascii="Times New Roman" w:hAnsi="Times New Roman" w:eastAsia="Basic Roman" w:cs="Times New Roman"/>
          <w:color w:val="000000"/>
          <w:sz w:val="24"/>
          <w:szCs w:val="24"/>
          <w:lang w:eastAsia="zh-CN"/>
        </w:rPr>
      </w:pPr>
      <w:r>
        <w:rPr>
          <w:rFonts w:eastAsia="Basic Roman" w:cs="Times New Roman" w:ascii="Times New Roman" w:hAnsi="Times New Roman"/>
          <w:color w:val="000000"/>
          <w:sz w:val="24"/>
          <w:szCs w:val="24"/>
          <w:lang w:eastAsia="zh-CN"/>
        </w:rPr>
        <w:t xml:space="preserve">3.1.6. Во всех случаях выхода из строя программных средств </w:t>
      </w:r>
      <w:r>
        <w:rPr>
          <w:rFonts w:eastAsia="Basic Roman" w:cs="Times New Roman" w:ascii="Times New Roman" w:hAnsi="Times New Roman"/>
          <w:sz w:val="24"/>
          <w:szCs w:val="24"/>
          <w:lang w:eastAsia="zh-CN"/>
        </w:rPr>
        <w:t xml:space="preserve">СВК в составе </w:t>
      </w:r>
      <w:r>
        <w:rPr>
          <w:rFonts w:eastAsia="Basic Roman" w:cs="Times New Roman" w:ascii="Times New Roman" w:hAnsi="Times New Roman"/>
          <w:color w:val="000000"/>
          <w:sz w:val="24"/>
          <w:szCs w:val="24"/>
          <w:lang w:eastAsia="zh-CN"/>
        </w:rPr>
        <w:t xml:space="preserve">АПВГК, Исполнитель уведомляет заказчика в течении 1 рабочего дня после инцидента по </w:t>
      </w:r>
      <w:r>
        <w:rPr>
          <w:rFonts w:eastAsia="Basic Roman" w:cs="Times New Roman" w:ascii="Times New Roman" w:hAnsi="Times New Roman"/>
          <w:sz w:val="24"/>
          <w:szCs w:val="24"/>
          <w:lang w:eastAsia="zh-CN"/>
        </w:rPr>
        <w:t>электронной почте</w:t>
      </w:r>
      <w:r>
        <w:rPr>
          <w:rFonts w:eastAsia="Basic Roman" w:cs="Times New Roman" w:ascii="Times New Roman" w:hAnsi="Times New Roman"/>
          <w:color w:val="000000"/>
          <w:sz w:val="24"/>
          <w:szCs w:val="24"/>
          <w:lang w:eastAsia="zh-CN"/>
        </w:rPr>
        <w:t xml:space="preserve"> и предоставляет информацию </w:t>
      </w:r>
      <w:r>
        <w:rPr>
          <w:rFonts w:eastAsia="Basic Roman" w:cs="Times New Roman" w:ascii="Times New Roman" w:hAnsi="Times New Roman"/>
          <w:color w:val="000000"/>
          <w:sz w:val="24"/>
          <w:szCs w:val="24"/>
          <w:lang w:val="en-US" w:eastAsia="zh-CN"/>
        </w:rPr>
        <w:t>o</w:t>
      </w:r>
      <w:r>
        <w:rPr>
          <w:rFonts w:eastAsia="Basic Roman" w:cs="Times New Roman" w:ascii="Times New Roman" w:hAnsi="Times New Roman"/>
          <w:color w:val="000000"/>
          <w:sz w:val="24"/>
          <w:szCs w:val="24"/>
          <w:lang w:eastAsia="zh-CN"/>
        </w:rPr>
        <w:t>: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eastAsia="Basic Roman" w:cs="Times New Roman"/>
          <w:color w:val="000000"/>
          <w:sz w:val="24"/>
          <w:szCs w:val="24"/>
          <w:lang w:eastAsia="zh-CN"/>
        </w:rPr>
      </w:pPr>
      <w:r>
        <w:rPr>
          <w:rFonts w:eastAsia="Basic Roman" w:cs="Times New Roman" w:ascii="Times New Roman" w:hAnsi="Times New Roman"/>
          <w:color w:val="000000"/>
          <w:sz w:val="24"/>
          <w:szCs w:val="24"/>
          <w:lang w:eastAsia="zh-CN"/>
        </w:rPr>
        <w:t xml:space="preserve">- причинах сбоев или выхода из строя </w:t>
      </w:r>
      <w:r>
        <w:rPr>
          <w:rFonts w:eastAsia="Basic Roman" w:cs="Times New Roman" w:ascii="Times New Roman" w:hAnsi="Times New Roman"/>
          <w:sz w:val="24"/>
          <w:szCs w:val="24"/>
          <w:lang w:eastAsia="zh-CN"/>
        </w:rPr>
        <w:t>программных средств СВК</w:t>
      </w:r>
      <w:r>
        <w:rPr>
          <w:rFonts w:eastAsia="Basic Roman" w:cs="Times New Roman" w:ascii="Times New Roman" w:hAnsi="Times New Roman"/>
          <w:color w:val="000000"/>
          <w:sz w:val="24"/>
          <w:szCs w:val="24"/>
          <w:lang w:eastAsia="zh-CN"/>
        </w:rPr>
        <w:t>;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eastAsia="Basic Roman" w:cs="Times New Roman"/>
          <w:color w:val="000000"/>
          <w:sz w:val="24"/>
          <w:szCs w:val="24"/>
          <w:lang w:eastAsia="zh-CN"/>
        </w:rPr>
      </w:pPr>
      <w:r>
        <w:rPr>
          <w:rFonts w:eastAsia="Basic Roman" w:cs="Times New Roman" w:ascii="Times New Roman" w:hAnsi="Times New Roman"/>
          <w:color w:val="000000"/>
          <w:sz w:val="24"/>
          <w:szCs w:val="24"/>
          <w:lang w:eastAsia="zh-CN"/>
        </w:rPr>
        <w:t xml:space="preserve">- сроков восстановления работоспособности </w:t>
      </w:r>
      <w:r>
        <w:rPr>
          <w:rFonts w:eastAsia="Basic Roman" w:cs="Times New Roman" w:ascii="Times New Roman" w:hAnsi="Times New Roman"/>
          <w:sz w:val="24"/>
          <w:szCs w:val="24"/>
          <w:lang w:eastAsia="zh-CN"/>
        </w:rPr>
        <w:t>программных средств СВК</w:t>
      </w:r>
      <w:r>
        <w:rPr>
          <w:rFonts w:eastAsia="Basic Roman" w:cs="Times New Roman" w:ascii="Times New Roman" w:hAnsi="Times New Roman"/>
          <w:color w:val="000000"/>
          <w:sz w:val="24"/>
          <w:szCs w:val="24"/>
          <w:lang w:eastAsia="zh-CN"/>
        </w:rPr>
        <w:t xml:space="preserve">, в случае устранения причин сбоев или выхода из строя </w:t>
      </w:r>
      <w:r>
        <w:rPr>
          <w:rFonts w:eastAsia="Basic Roman" w:cs="Times New Roman" w:ascii="Times New Roman" w:hAnsi="Times New Roman"/>
          <w:sz w:val="24"/>
          <w:szCs w:val="24"/>
          <w:lang w:eastAsia="zh-CN"/>
        </w:rPr>
        <w:t>программных средств СВК</w:t>
      </w:r>
      <w:r>
        <w:rPr>
          <w:rFonts w:eastAsia="Basic Roman" w:cs="Times New Roman" w:ascii="Times New Roman" w:hAnsi="Times New Roman"/>
          <w:color w:val="000000"/>
          <w:sz w:val="24"/>
          <w:szCs w:val="24"/>
          <w:lang w:eastAsia="zh-CN"/>
        </w:rPr>
        <w:t>, в рамках проведения оказываемых услуг;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eastAsia="Basic Roman" w:cs="Times New Roman"/>
          <w:color w:val="000000"/>
          <w:sz w:val="24"/>
          <w:szCs w:val="24"/>
          <w:lang w:eastAsia="zh-CN"/>
        </w:rPr>
      </w:pPr>
      <w:r>
        <w:rPr>
          <w:rFonts w:eastAsia="Basic Roman" w:cs="Times New Roman" w:ascii="Times New Roman" w:hAnsi="Times New Roman"/>
          <w:color w:val="000000"/>
          <w:sz w:val="24"/>
          <w:szCs w:val="24"/>
          <w:lang w:eastAsia="zh-CN"/>
        </w:rPr>
        <w:t xml:space="preserve">- предложений о проведении необходимых мероприятий по восстановлению работоспособности </w:t>
      </w:r>
      <w:r>
        <w:rPr>
          <w:rFonts w:eastAsia="Basic Roman" w:cs="Times New Roman" w:ascii="Times New Roman" w:hAnsi="Times New Roman"/>
          <w:sz w:val="24"/>
          <w:szCs w:val="24"/>
          <w:lang w:eastAsia="zh-CN"/>
        </w:rPr>
        <w:t>программных средств СВК</w:t>
      </w:r>
      <w:r>
        <w:rPr>
          <w:rFonts w:eastAsia="Basic Roman" w:cs="Times New Roman" w:ascii="Times New Roman" w:hAnsi="Times New Roman"/>
          <w:color w:val="000000"/>
          <w:sz w:val="24"/>
          <w:szCs w:val="24"/>
          <w:lang w:eastAsia="zh-CN"/>
        </w:rPr>
        <w:t xml:space="preserve">, в случае возникновения необходимости в устранении причин сбоев или выхода из строя </w:t>
      </w:r>
      <w:r>
        <w:rPr>
          <w:rFonts w:eastAsia="Basic Roman" w:cs="Times New Roman" w:ascii="Times New Roman" w:hAnsi="Times New Roman"/>
          <w:sz w:val="24"/>
          <w:szCs w:val="24"/>
          <w:lang w:eastAsia="zh-CN"/>
        </w:rPr>
        <w:t>программных средств СВК</w:t>
      </w:r>
      <w:r>
        <w:rPr>
          <w:rFonts w:eastAsia="Basic Roman" w:cs="Times New Roman" w:ascii="Times New Roman" w:hAnsi="Times New Roman"/>
          <w:color w:val="000000"/>
          <w:sz w:val="24"/>
          <w:szCs w:val="24"/>
          <w:lang w:eastAsia="zh-CN"/>
        </w:rPr>
        <w:t xml:space="preserve">, в рамках проведения работ, не определенных настоящим Техническим заданием (далее – нерегламентированных работ), с указанием плановых сроков и ориентировочной стоимостью выполнения необходимых работ. 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eastAsia="Basic Roman" w:cs="Times New Roman"/>
          <w:color w:val="000000"/>
          <w:sz w:val="24"/>
          <w:szCs w:val="24"/>
          <w:lang w:eastAsia="zh-CN"/>
        </w:rPr>
      </w:pPr>
      <w:r>
        <w:rPr>
          <w:rFonts w:eastAsia="Basic Roman" w:cs="Times New Roman" w:ascii="Times New Roman" w:hAnsi="Times New Roman"/>
          <w:color w:val="000000"/>
          <w:sz w:val="24"/>
          <w:szCs w:val="24"/>
          <w:lang w:eastAsia="zh-CN"/>
        </w:rPr>
        <w:t>3.1.7. Заказчик обязуется организовать доступ в прямой канал связи на АПВГК и поддерживать на весь период договора. Скорость канала связи должна быть не менее 5 Мбит/с.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eastAsia="Basic Roman" w:cs="Times New Roman"/>
          <w:color w:val="000000"/>
          <w:sz w:val="24"/>
          <w:szCs w:val="24"/>
          <w:lang w:eastAsia="zh-CN"/>
        </w:rPr>
      </w:pPr>
      <w:r>
        <w:rPr>
          <w:rFonts w:eastAsia="Basic Roman" w:cs="Times New Roman" w:ascii="Times New Roman" w:hAnsi="Times New Roman"/>
          <w:color w:val="000000"/>
          <w:sz w:val="24"/>
          <w:szCs w:val="24"/>
          <w:lang w:eastAsia="zh-CN"/>
        </w:rPr>
        <w:t>3.1.8. При обращении Заказчик обязан предоставлять материалы первичной визуальный и инструментальный диагностики состояния модулей системы: фотоматериалы, текстовое описание результатов осмотра объекта, результаты измерений электрических параметров модулей системы и другие данные, запрошенные Исполнителем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eastAsia="Basic Roman" w:cs="Times New Roman"/>
          <w:color w:val="000000"/>
          <w:sz w:val="24"/>
          <w:szCs w:val="24"/>
          <w:lang w:eastAsia="zh-CN"/>
        </w:rPr>
      </w:pPr>
      <w:r>
        <w:rPr>
          <w:rFonts w:eastAsia="Basic Roman" w:cs="Times New Roman" w:ascii="Times New Roman" w:hAnsi="Times New Roman"/>
          <w:color w:val="000000"/>
          <w:sz w:val="24"/>
          <w:szCs w:val="24"/>
          <w:lang w:eastAsia="zh-CN"/>
        </w:rPr>
        <w:t>3.1.9. Выявленные неисправности устраняются Исполнителем в следующем порядке (согласно параметрам оказания сервиса):</w:t>
      </w:r>
      <w:bookmarkEnd w:id="1"/>
    </w:p>
    <w:tbl>
      <w:tblPr>
        <w:tblW w:w="9285" w:type="dxa"/>
        <w:jc w:val="start"/>
        <w:tblInd w:w="10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7185"/>
        <w:gridCol w:w="2100"/>
      </w:tblGrid>
      <w:tr>
        <w:trPr>
          <w:tblHeader w:val="true"/>
          <w:trHeight w:val="20" w:hRule="atLeast"/>
        </w:trPr>
        <w:tc>
          <w:tcPr>
            <w:tcW w:w="718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Basic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Basic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zh-CN"/>
              </w:rPr>
              <w:t>Наименование параметра</w:t>
            </w:r>
          </w:p>
        </w:tc>
        <w:tc>
          <w:tcPr>
            <w:tcW w:w="21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Basic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Basic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zh-CN"/>
              </w:rPr>
              <w:t>Требования оказания сервиса</w:t>
            </w:r>
          </w:p>
        </w:tc>
      </w:tr>
      <w:tr>
        <w:trPr>
          <w:trHeight w:val="20" w:hRule="atLeast"/>
        </w:trPr>
        <w:tc>
          <w:tcPr>
            <w:tcW w:w="718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Basic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Basic Roman" w:cs="Times New Roman" w:ascii="Times New Roman" w:hAnsi="Times New Roman"/>
                <w:color w:val="000000"/>
                <w:sz w:val="24"/>
                <w:szCs w:val="24"/>
                <w:lang w:eastAsia="zh-CN"/>
              </w:rPr>
              <w:t xml:space="preserve">Нормативное время для удаленного устранения неисправности (полная неработоспособность </w:t>
            </w:r>
            <w:r>
              <w:rPr>
                <w:rFonts w:eastAsia="Basic Roman" w:cs="Times New Roman" w:ascii="Times New Roman" w:hAnsi="Times New Roman"/>
                <w:sz w:val="24"/>
                <w:szCs w:val="24"/>
                <w:lang w:eastAsia="zh-CN"/>
              </w:rPr>
              <w:t>программных средств СВК в составе</w:t>
            </w:r>
            <w:r>
              <w:rPr>
                <w:rFonts w:eastAsia="Basic Roman" w:cs="Times New Roman" w:ascii="Times New Roman" w:hAnsi="Times New Roman"/>
                <w:color w:val="000000"/>
                <w:sz w:val="24"/>
                <w:szCs w:val="24"/>
                <w:lang w:eastAsia="zh-CN"/>
              </w:rPr>
              <w:t xml:space="preserve"> АПВГК продолжительностью более 15 минут)</w:t>
            </w:r>
          </w:p>
        </w:tc>
        <w:tc>
          <w:tcPr>
            <w:tcW w:w="21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Basic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Basic Roman" w:cs="Times New Roman" w:ascii="Times New Roman" w:hAnsi="Times New Roman"/>
                <w:color w:val="000000"/>
                <w:sz w:val="24"/>
                <w:szCs w:val="24"/>
                <w:lang w:eastAsia="zh-CN"/>
              </w:rPr>
              <w:t>не более 2 (двух) рабочих дней</w:t>
            </w:r>
          </w:p>
        </w:tc>
      </w:tr>
      <w:tr>
        <w:trPr>
          <w:trHeight w:val="20" w:hRule="atLeast"/>
        </w:trPr>
        <w:tc>
          <w:tcPr>
            <w:tcW w:w="718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Basic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Basic Roman" w:cs="Times New Roman" w:ascii="Times New Roman" w:hAnsi="Times New Roman"/>
                <w:color w:val="000000"/>
                <w:sz w:val="24"/>
                <w:szCs w:val="24"/>
                <w:lang w:eastAsia="zh-CN"/>
              </w:rPr>
              <w:t xml:space="preserve">Нормативное время для удаленного устранения неисправности  (любые возникающие неисправности </w:t>
            </w:r>
            <w:r>
              <w:rPr>
                <w:rFonts w:eastAsia="Basic Roman" w:cs="Times New Roman" w:ascii="Times New Roman" w:hAnsi="Times New Roman"/>
                <w:sz w:val="24"/>
                <w:szCs w:val="24"/>
                <w:lang w:eastAsia="zh-CN"/>
              </w:rPr>
              <w:t>программных средств СВК</w:t>
            </w:r>
            <w:r>
              <w:rPr>
                <w:rFonts w:eastAsia="Basic Roman" w:cs="Times New Roman" w:ascii="Times New Roman" w:hAnsi="Times New Roman"/>
                <w:color w:val="000000"/>
                <w:sz w:val="24"/>
                <w:szCs w:val="24"/>
                <w:lang w:eastAsia="zh-CN"/>
              </w:rPr>
              <w:t xml:space="preserve"> АПВГК, приводящие к ограничению функционала Оборудования)</w:t>
            </w:r>
          </w:p>
        </w:tc>
        <w:tc>
          <w:tcPr>
            <w:tcW w:w="21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Basic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Basic Roman" w:cs="Times New Roman" w:ascii="Times New Roman" w:hAnsi="Times New Roman"/>
                <w:color w:val="000000"/>
                <w:sz w:val="24"/>
                <w:szCs w:val="24"/>
                <w:lang w:eastAsia="zh-CN"/>
              </w:rPr>
              <w:t>не более 5 (пяти) рабочих дней</w:t>
            </w:r>
          </w:p>
        </w:tc>
      </w:tr>
      <w:tr>
        <w:trPr>
          <w:trHeight w:val="20" w:hRule="atLeast"/>
        </w:trPr>
        <w:tc>
          <w:tcPr>
            <w:tcW w:w="718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Basic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Basic Roman" w:cs="Times New Roman" w:ascii="Times New Roman" w:hAnsi="Times New Roman"/>
                <w:color w:val="000000"/>
                <w:sz w:val="24"/>
                <w:szCs w:val="24"/>
                <w:lang w:eastAsia="zh-CN"/>
              </w:rPr>
              <w:t xml:space="preserve">Нормативное время для удаленного устранения неисправности (любые возникающие неисправности </w:t>
            </w:r>
            <w:r>
              <w:rPr>
                <w:rFonts w:eastAsia="Basic Roman" w:cs="Times New Roman" w:ascii="Times New Roman" w:hAnsi="Times New Roman"/>
                <w:sz w:val="24"/>
                <w:szCs w:val="24"/>
                <w:lang w:eastAsia="zh-CN"/>
              </w:rPr>
              <w:t>программных средств СВК</w:t>
            </w:r>
            <w:r>
              <w:rPr>
                <w:rFonts w:eastAsia="Basic Roman" w:cs="Times New Roman" w:ascii="Times New Roman" w:hAnsi="Times New Roman"/>
                <w:color w:val="000000"/>
                <w:sz w:val="24"/>
                <w:szCs w:val="24"/>
                <w:lang w:eastAsia="zh-CN"/>
              </w:rPr>
              <w:t>, не приводящие к ограничению функционала Оборудования)</w:t>
            </w:r>
          </w:p>
        </w:tc>
        <w:tc>
          <w:tcPr>
            <w:tcW w:w="21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Basic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Basic Roman" w:cs="Times New Roman" w:ascii="Times New Roman" w:hAnsi="Times New Roman"/>
                <w:color w:val="000000"/>
                <w:sz w:val="24"/>
                <w:szCs w:val="24"/>
                <w:lang w:eastAsia="zh-CN"/>
              </w:rPr>
              <w:t>не более 15 (пятнадцати) рабочих дней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eastAsia="Basic Roman" w:cs="Times New Roman"/>
          <w:color w:val="000000"/>
          <w:sz w:val="24"/>
          <w:szCs w:val="24"/>
          <w:lang w:eastAsia="zh-CN"/>
        </w:rPr>
      </w:pPr>
      <w:r>
        <w:rPr>
          <w:rFonts w:eastAsia="Basic Roman" w:cs="Times New Roman" w:ascii="Times New Roman" w:hAnsi="Times New Roman"/>
          <w:color w:val="000000"/>
          <w:sz w:val="24"/>
          <w:szCs w:val="24"/>
          <w:lang w:eastAsia="zh-C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Basic Roman" w:cs="Times New Roman"/>
          <w:color w:val="000000"/>
          <w:sz w:val="24"/>
          <w:szCs w:val="24"/>
          <w:lang w:eastAsia="zh-CN"/>
        </w:rPr>
      </w:pPr>
      <w:r>
        <w:rPr>
          <w:rFonts w:eastAsia="Basic Roman" w:cs="Times New Roman" w:ascii="Times New Roman" w:hAnsi="Times New Roman"/>
          <w:color w:val="000000"/>
          <w:sz w:val="24"/>
          <w:szCs w:val="24"/>
          <w:lang w:eastAsia="zh-CN"/>
        </w:rPr>
      </w:r>
    </w:p>
    <w:p>
      <w:pPr>
        <w:pStyle w:val="Normal"/>
        <w:widowControl w:val="false"/>
        <w:numPr>
          <w:ilvl w:val="1"/>
          <w:numId w:val="2"/>
        </w:numPr>
        <w:spacing w:lineRule="auto" w:line="240" w:before="0" w:after="0"/>
        <w:ind w:firstLine="567" w:start="0"/>
        <w:contextualSpacing/>
        <w:jc w:val="both"/>
        <w:rPr>
          <w:rFonts w:ascii="Times New Roman" w:hAnsi="Times New Roman" w:eastAsia="Basic Roman" w:cs="Times New Roman"/>
          <w:b/>
          <w:color w:val="000000"/>
          <w:sz w:val="24"/>
          <w:szCs w:val="24"/>
          <w:lang w:eastAsia="zh-CN"/>
        </w:rPr>
      </w:pPr>
      <w:r>
        <w:rPr>
          <w:rFonts w:eastAsia="Basic Roman" w:cs="Times New Roman" w:ascii="Times New Roman" w:hAnsi="Times New Roman"/>
          <w:b/>
          <w:color w:val="000000"/>
          <w:sz w:val="24"/>
          <w:szCs w:val="24"/>
          <w:lang w:eastAsia="zh-CN"/>
        </w:rPr>
        <w:t xml:space="preserve">Объёмы и периодичность оказания услуг по предоставление услуг по удаленному содержанию и обеспечению функционирования </w:t>
      </w:r>
      <w:r>
        <w:rPr>
          <w:rFonts w:eastAsia="Basic Roman" w:cs="Times New Roman" w:ascii="Times New Roman" w:hAnsi="Times New Roman"/>
          <w:b/>
          <w:bCs/>
          <w:sz w:val="24"/>
          <w:szCs w:val="24"/>
          <w:lang w:eastAsia="zh-CN"/>
        </w:rPr>
        <w:t>программных средств СВК в составе</w:t>
      </w:r>
      <w:r>
        <w:rPr>
          <w:rFonts w:eastAsia="Basic Roman" w:cs="Times New Roman" w:ascii="Times New Roman" w:hAnsi="Times New Roman"/>
          <w:sz w:val="24"/>
          <w:szCs w:val="24"/>
          <w:lang w:eastAsia="zh-CN"/>
        </w:rPr>
        <w:t xml:space="preserve"> </w:t>
      </w:r>
      <w:r>
        <w:rPr>
          <w:rFonts w:eastAsia="Basic Roman" w:cs="Times New Roman" w:ascii="Times New Roman" w:hAnsi="Times New Roman"/>
          <w:b/>
          <w:color w:val="000000"/>
          <w:sz w:val="24"/>
          <w:szCs w:val="24"/>
          <w:lang w:eastAsia="zh-CN"/>
        </w:rPr>
        <w:t xml:space="preserve">автоматических пунктов весового и габаритного контроля транспортных средств: 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Basic Roman" w:cs="Times New Roman"/>
          <w:b/>
          <w:color w:val="000000"/>
          <w:sz w:val="24"/>
          <w:szCs w:val="24"/>
          <w:lang w:eastAsia="zh-CN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Удаленное обслуживание навесных модулей Объекта, установленных на металлоконструкциях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tbl>
      <w:tblPr>
        <w:tblW w:w="5000" w:type="pct"/>
        <w:jc w:val="center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644"/>
        <w:gridCol w:w="7106"/>
        <w:gridCol w:w="1581"/>
      </w:tblGrid>
      <w:tr>
        <w:trPr>
          <w:trHeight w:val="20" w:hRule="atLeast"/>
        </w:trPr>
        <w:tc>
          <w:tcPr>
            <w:tcW w:w="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71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Вид услуги </w:t>
            </w:r>
          </w:p>
        </w:tc>
        <w:tc>
          <w:tcPr>
            <w:tcW w:w="1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График оказания услуги</w:t>
            </w:r>
          </w:p>
        </w:tc>
      </w:tr>
      <w:tr>
        <w:trPr>
          <w:trHeight w:val="20" w:hRule="atLeast"/>
        </w:trPr>
        <w:tc>
          <w:tcPr>
            <w:tcW w:w="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роверка работы МВР с помощью программных средств. Диагностика работы аппаратно-программного модуля измерения скорости ТС </w:t>
            </w:r>
            <w:r>
              <w:rPr>
                <w:rFonts w:eastAsia="Times New Roman"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>(если применимо)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. Проверка настроек МВР, корректировка настроек </w:t>
            </w:r>
            <w:r>
              <w:rPr>
                <w:rFonts w:eastAsia="Times New Roman"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>(при необходимости)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ежемесячно</w:t>
            </w:r>
          </w:p>
        </w:tc>
      </w:tr>
      <w:tr>
        <w:trPr>
          <w:trHeight w:val="20" w:hRule="atLeast"/>
        </w:trPr>
        <w:tc>
          <w:tcPr>
            <w:tcW w:w="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К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онтроль смещения изображения видеокамер МВР. Контроль наличия артефактов, абберации и искажений изображения.</w:t>
            </w:r>
          </w:p>
        </w:tc>
        <w:tc>
          <w:tcPr>
            <w:tcW w:w="1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ежемесячно</w:t>
            </w:r>
          </w:p>
        </w:tc>
      </w:tr>
      <w:tr>
        <w:trPr>
          <w:trHeight w:val="20" w:hRule="atLeast"/>
        </w:trPr>
        <w:tc>
          <w:tcPr>
            <w:tcW w:w="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К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онтроль наличия диагностических сообщений о состоянии МИГ. Контроль наличия артефактов.</w:t>
            </w:r>
          </w:p>
        </w:tc>
        <w:tc>
          <w:tcPr>
            <w:tcW w:w="1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ежемесячно</w:t>
            </w:r>
          </w:p>
        </w:tc>
      </w:tr>
      <w:tr>
        <w:trPr>
          <w:trHeight w:val="20" w:hRule="atLeast"/>
        </w:trPr>
        <w:tc>
          <w:tcPr>
            <w:tcW w:w="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К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онтроль работоспособности МВР и МИГ в составе ЛВС СВК</w:t>
            </w:r>
          </w:p>
        </w:tc>
        <w:tc>
          <w:tcPr>
            <w:tcW w:w="1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ежемесячно</w:t>
            </w:r>
          </w:p>
        </w:tc>
      </w:tr>
      <w:tr>
        <w:trPr>
          <w:trHeight w:val="20" w:hRule="atLeast"/>
        </w:trPr>
        <w:tc>
          <w:tcPr>
            <w:tcW w:w="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1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Обновление ПО МВР и МИГ </w:t>
            </w:r>
            <w:r>
              <w:rPr>
                <w:rFonts w:eastAsia="Times New Roman"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>(при необходимости).</w:t>
            </w:r>
          </w:p>
        </w:tc>
        <w:tc>
          <w:tcPr>
            <w:tcW w:w="1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ежемесячно</w:t>
            </w:r>
          </w:p>
        </w:tc>
      </w:tr>
    </w:tbl>
    <w:p>
      <w:pPr>
        <w:pStyle w:val="Normal"/>
        <w:widowControl w:val="false"/>
        <w:suppressAutoHyphens w:val="true"/>
        <w:spacing w:lineRule="auto" w:line="240" w:before="0" w:after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widowControl w:val="false"/>
        <w:suppressAutoHyphens w:val="true"/>
        <w:spacing w:lineRule="auto" w:line="240" w:before="0" w:after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Удаленное обслуживание ШЭ</w:t>
      </w:r>
    </w:p>
    <w:p>
      <w:pPr>
        <w:pStyle w:val="Normal"/>
        <w:widowControl w:val="false"/>
        <w:suppressAutoHyphens w:val="true"/>
        <w:spacing w:lineRule="auto" w:line="240" w:before="0" w:after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tbl>
      <w:tblPr>
        <w:tblW w:w="5000" w:type="pct"/>
        <w:jc w:val="center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655"/>
        <w:gridCol w:w="7090"/>
        <w:gridCol w:w="1586"/>
      </w:tblGrid>
      <w:tr>
        <w:trPr>
          <w:trHeight w:val="844" w:hRule="atLeast"/>
        </w:trPr>
        <w:tc>
          <w:tcPr>
            <w:tcW w:w="65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709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Вид услуги </w:t>
            </w:r>
          </w:p>
        </w:tc>
        <w:tc>
          <w:tcPr>
            <w:tcW w:w="15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График оказания услуги</w:t>
            </w:r>
          </w:p>
        </w:tc>
      </w:tr>
      <w:tr>
        <w:trPr>
          <w:trHeight w:val="20" w:hRule="atLeast"/>
        </w:trPr>
        <w:tc>
          <w:tcPr>
            <w:tcW w:w="65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роверка ревизий ПО СВК, установленного на промышленном компьютере с операционной системой. Обновление ПО (при необходимости).</w:t>
            </w:r>
          </w:p>
        </w:tc>
        <w:tc>
          <w:tcPr>
            <w:tcW w:w="15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ежемесячно</w:t>
            </w:r>
          </w:p>
        </w:tc>
      </w:tr>
      <w:tr>
        <w:trPr>
          <w:trHeight w:val="20" w:hRule="atLeast"/>
        </w:trPr>
        <w:tc>
          <w:tcPr>
            <w:tcW w:w="65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роверка и мониторинг работы ПО СВК, установленного на промышленном компьютере с операционной системой. </w:t>
            </w:r>
          </w:p>
        </w:tc>
        <w:tc>
          <w:tcPr>
            <w:tcW w:w="15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ежемесячно</w:t>
            </w:r>
          </w:p>
        </w:tc>
      </w:tr>
      <w:tr>
        <w:trPr>
          <w:trHeight w:val="20" w:hRule="atLeast"/>
        </w:trPr>
        <w:tc>
          <w:tcPr>
            <w:tcW w:w="65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роверка и мониторинг работы программного модуля экспортирования результатов измерений во внешние информационные системы.</w:t>
            </w:r>
          </w:p>
        </w:tc>
        <w:tc>
          <w:tcPr>
            <w:tcW w:w="15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ежемесячно</w:t>
            </w:r>
          </w:p>
        </w:tc>
      </w:tr>
      <w:tr>
        <w:trPr>
          <w:trHeight w:val="20" w:hRule="atLeast"/>
        </w:trPr>
        <w:tc>
          <w:tcPr>
            <w:tcW w:w="65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роверка работы маршрутизатора и коммутаторов ЛВС СВК. Корректировка настроек маршрутизатора СВК (при необходимости).</w:t>
            </w:r>
          </w:p>
        </w:tc>
        <w:tc>
          <w:tcPr>
            <w:tcW w:w="15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ежемесячно</w:t>
            </w:r>
          </w:p>
        </w:tc>
      </w:tr>
    </w:tbl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Удаленное сопровождение Объекта</w:t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tbl>
      <w:tblPr>
        <w:tblW w:w="5000" w:type="pct"/>
        <w:jc w:val="center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634"/>
        <w:gridCol w:w="7123"/>
        <w:gridCol w:w="1574"/>
      </w:tblGrid>
      <w:tr>
        <w:trPr>
          <w:trHeight w:val="20" w:hRule="atLeast"/>
        </w:trPr>
        <w:tc>
          <w:tcPr>
            <w:tcW w:w="6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712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Вид услуги </w:t>
            </w:r>
          </w:p>
        </w:tc>
        <w:tc>
          <w:tcPr>
            <w:tcW w:w="157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График оказания услуги</w:t>
            </w:r>
          </w:p>
        </w:tc>
      </w:tr>
      <w:tr>
        <w:trPr>
          <w:trHeight w:val="20" w:hRule="atLeast"/>
        </w:trPr>
        <w:tc>
          <w:tcPr>
            <w:tcW w:w="6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2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Удаленный мониторинг работоспособности ПО системы</w:t>
            </w:r>
          </w:p>
        </w:tc>
        <w:tc>
          <w:tcPr>
            <w:tcW w:w="157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ind w:end="-1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 раз в день</w:t>
            </w:r>
          </w:p>
        </w:tc>
      </w:tr>
      <w:tr>
        <w:trPr>
          <w:trHeight w:val="20" w:hRule="atLeast"/>
        </w:trPr>
        <w:tc>
          <w:tcPr>
            <w:tcW w:w="6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2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Техническая поддержка работоспособности ПО системы</w:t>
            </w:r>
          </w:p>
        </w:tc>
        <w:tc>
          <w:tcPr>
            <w:tcW w:w="157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ind w:end="-1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 раз в день</w:t>
            </w:r>
          </w:p>
        </w:tc>
      </w:tr>
      <w:tr>
        <w:trPr>
          <w:trHeight w:val="20" w:hRule="atLeast"/>
        </w:trPr>
        <w:tc>
          <w:tcPr>
            <w:tcW w:w="6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2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Сопровождение контроля метрологических параметров СВК с помощью КТС.</w:t>
            </w:r>
          </w:p>
        </w:tc>
        <w:tc>
          <w:tcPr>
            <w:tcW w:w="157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ind w:end="-1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 раз в 2 месяца</w:t>
            </w:r>
          </w:p>
        </w:tc>
      </w:tr>
      <w:tr>
        <w:trPr>
          <w:trHeight w:val="20" w:hRule="atLeast"/>
        </w:trPr>
        <w:tc>
          <w:tcPr>
            <w:tcW w:w="6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2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Сопровождение проведения технического обслуживания СВК</w:t>
            </w:r>
          </w:p>
        </w:tc>
        <w:tc>
          <w:tcPr>
            <w:tcW w:w="157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ind w:end="-1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bookmarkStart w:id="2" w:name="_GoBack"/>
            <w:bookmarkEnd w:id="2"/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 раз в месяц</w:t>
            </w:r>
          </w:p>
        </w:tc>
      </w:tr>
    </w:tbl>
    <w:p>
      <w:pPr>
        <w:pStyle w:val="Normal"/>
        <w:spacing w:lineRule="auto" w:line="288" w:before="0" w:after="0"/>
        <w:ind w:firstLine="567"/>
        <w:rPr>
          <w:rFonts w:ascii="Times New Roman" w:hAnsi="Times New Roman" w:eastAsia="Basic Roman" w:cs="Times New Roman"/>
          <w:color w:val="000000"/>
          <w:sz w:val="24"/>
          <w:szCs w:val="24"/>
          <w:lang w:eastAsia="zh-CN"/>
        </w:rPr>
      </w:pPr>
      <w:r>
        <w:rPr>
          <w:rFonts w:eastAsia="Basic Roman" w:cs="Times New Roman" w:ascii="Times New Roman" w:hAnsi="Times New Roman"/>
          <w:color w:val="000000"/>
          <w:sz w:val="24"/>
          <w:szCs w:val="24"/>
          <w:lang w:eastAsia="zh-CN"/>
        </w:rPr>
      </w:r>
    </w:p>
    <w:p>
      <w:pPr>
        <w:pStyle w:val="Normal"/>
        <w:spacing w:lineRule="auto" w:line="240" w:before="0" w:after="0"/>
        <w:ind w:start="720" w:end="77"/>
        <w:contextualSpacing/>
        <w:jc w:val="both"/>
        <w:rPr>
          <w:rFonts w:ascii="Times New Roman" w:hAnsi="Times New Roman" w:eastAsia="Basic Roman" w:cs="Times New Roman"/>
          <w:b/>
          <w:color w:val="000000"/>
          <w:sz w:val="24"/>
          <w:szCs w:val="24"/>
          <w:lang w:eastAsia="zh-CN"/>
        </w:rPr>
      </w:pPr>
      <w:r>
        <w:rPr>
          <w:rFonts w:eastAsia="Basic Roman" w:cs="Times New Roman" w:ascii="Times New Roman" w:hAnsi="Times New Roman"/>
          <w:color w:val="000000"/>
          <w:sz w:val="24"/>
          <w:szCs w:val="24"/>
          <w:lang w:eastAsia="zh-CN"/>
        </w:rPr>
        <w:t xml:space="preserve">4. </w:t>
      </w:r>
      <w:r>
        <w:rPr>
          <w:rFonts w:eastAsia="Basic Roman" w:cs="Times New Roman" w:ascii="Times New Roman" w:hAnsi="Times New Roman"/>
          <w:b/>
          <w:color w:val="000000"/>
          <w:sz w:val="24"/>
          <w:szCs w:val="24"/>
          <w:lang w:eastAsia="zh-CN"/>
        </w:rPr>
        <w:t xml:space="preserve">Требования к исполнителю </w:t>
      </w:r>
    </w:p>
    <w:p>
      <w:pPr>
        <w:pStyle w:val="Normal"/>
        <w:spacing w:lineRule="auto" w:line="288" w:before="0" w:after="0"/>
        <w:ind w:firstLine="567" w:start="360" w:end="77"/>
        <w:jc w:val="both"/>
        <w:rPr>
          <w:rFonts w:ascii="Times New Roman" w:hAnsi="Times New Roman" w:eastAsia="Basic Roman" w:cs="Times New Roman"/>
          <w:color w:val="000000"/>
          <w:sz w:val="24"/>
          <w:szCs w:val="24"/>
          <w:lang w:eastAsia="zh-CN"/>
        </w:rPr>
      </w:pPr>
      <w:r>
        <w:rPr>
          <w:rFonts w:eastAsia="Basic Roman" w:cs="Times New Roman" w:ascii="Times New Roman" w:hAnsi="Times New Roman"/>
          <w:color w:val="000000"/>
          <w:sz w:val="24"/>
          <w:szCs w:val="24"/>
          <w:lang w:eastAsia="zh-CN"/>
        </w:rPr>
      </w:r>
    </w:p>
    <w:p>
      <w:pPr>
        <w:pStyle w:val="Normal"/>
        <w:spacing w:lineRule="auto" w:line="288" w:before="0" w:after="0"/>
        <w:ind w:firstLine="567" w:end="77"/>
        <w:jc w:val="both"/>
        <w:rPr>
          <w:rFonts w:ascii="Times New Roman" w:hAnsi="Times New Roman" w:eastAsia="Basic Roman" w:cs="Times New Roman"/>
          <w:color w:val="000000"/>
          <w:sz w:val="24"/>
          <w:szCs w:val="24"/>
          <w:lang w:eastAsia="zh-CN"/>
        </w:rPr>
      </w:pPr>
      <w:r>
        <w:rPr>
          <w:rFonts w:eastAsia="Basic Roman" w:cs="Times New Roman" w:ascii="Times New Roman" w:hAnsi="Times New Roman"/>
          <w:color w:val="000000"/>
          <w:sz w:val="24"/>
          <w:szCs w:val="24"/>
          <w:lang w:eastAsia="zh-CN"/>
        </w:rPr>
        <w:t>Исполнитель обязан в установленный в требовании Заказчика срок предоставить документы, подтверждающие квалификацию:</w:t>
      </w:r>
    </w:p>
    <w:p>
      <w:pPr>
        <w:pStyle w:val="Normal"/>
        <w:spacing w:lineRule="auto" w:line="288" w:before="0" w:after="0"/>
        <w:ind w:firstLine="567" w:end="77"/>
        <w:jc w:val="both"/>
        <w:rPr>
          <w:rFonts w:ascii="Times New Roman" w:hAnsi="Times New Roman" w:eastAsia="Basic Roman" w:cs="Times New Roman"/>
          <w:color w:val="000000"/>
          <w:sz w:val="24"/>
          <w:szCs w:val="24"/>
          <w:lang w:eastAsia="zh-CN"/>
        </w:rPr>
      </w:pPr>
      <w:r>
        <w:rPr>
          <w:rFonts w:eastAsia="Basic Roman" w:cs="Times New Roman" w:ascii="Times New Roman" w:hAnsi="Times New Roman"/>
          <w:color w:val="000000"/>
          <w:sz w:val="24"/>
          <w:szCs w:val="24"/>
          <w:lang w:eastAsia="zh-CN"/>
        </w:rPr>
        <w:t>-Обслуживание СВК должно осуществляться специалистами АО «ВИК «Тензо-М», ООО «Торговый дом «Тензо-М» или ООО «Тензо-М Интегратор» или их официальными партнерами, прошедшими обучение и имеющими Сертификат (Свидетельство) АО «ВИК «Тензо-М» с правом эксплуатации СВК. Квалификация специалистов подтверждается Свидетельством о прохождении обучения в АО «ВИК «Тензо-М».</w:t>
      </w:r>
    </w:p>
    <w:p>
      <w:pPr>
        <w:pStyle w:val="ListParagraph"/>
        <w:ind w:start="927"/>
        <w:jc w:val="star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ListParagraph"/>
        <w:widowControl/>
        <w:bidi w:val="0"/>
        <w:spacing w:lineRule="auto" w:line="276" w:before="0" w:after="200"/>
        <w:ind w:firstLine="567" w:start="0" w:end="0"/>
        <w:contextualSpacing/>
        <w:jc w:val="star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Указанные в настоящем пункте требования являются существенными в целях исполнения Договора.</w:t>
      </w:r>
    </w:p>
    <w:p>
      <w:pPr>
        <w:pStyle w:val="Normal"/>
        <w:spacing w:lineRule="auto" w:line="288" w:before="0" w:after="0"/>
        <w:ind w:start="927" w:end="77"/>
        <w:contextualSpacing/>
        <w:jc w:val="both"/>
        <w:rPr>
          <w:rFonts w:ascii="Times New Roman" w:hAnsi="Times New Roman" w:eastAsia="Basic Roman" w:cs="Times New Roman"/>
          <w:color w:val="000000"/>
          <w:sz w:val="24"/>
          <w:szCs w:val="24"/>
          <w:lang w:eastAsia="zh-CN"/>
        </w:rPr>
      </w:pPr>
      <w:r>
        <w:rPr>
          <w:rFonts w:eastAsia="Basic Roman" w:cs="Times New Roman" w:ascii="Times New Roman" w:hAnsi="Times New Roman"/>
          <w:color w:val="000000"/>
          <w:sz w:val="24"/>
          <w:szCs w:val="24"/>
          <w:lang w:eastAsia="zh-CN"/>
        </w:rPr>
      </w:r>
    </w:p>
    <w:p>
      <w:pPr>
        <w:pStyle w:val="Normal"/>
        <w:spacing w:lineRule="auto" w:line="288" w:before="0" w:after="0"/>
        <w:ind w:firstLine="567" w:end="77"/>
        <w:jc w:val="both"/>
        <w:rPr>
          <w:rFonts w:ascii="Times New Roman" w:hAnsi="Times New Roman" w:eastAsia="Basic Roman" w:cs="Times New Roman"/>
          <w:color w:val="000000"/>
          <w:sz w:val="24"/>
          <w:szCs w:val="24"/>
          <w:lang w:eastAsia="zh-CN"/>
        </w:rPr>
      </w:pPr>
      <w:r>
        <w:rPr>
          <w:rFonts w:eastAsia="Basic Roman" w:cs="Times New Roman" w:ascii="Times New Roman" w:hAnsi="Times New Roman"/>
          <w:color w:val="000000"/>
          <w:sz w:val="24"/>
          <w:szCs w:val="24"/>
          <w:lang w:eastAsia="zh-CN"/>
        </w:rPr>
      </w:r>
    </w:p>
    <w:p>
      <w:pPr>
        <w:pStyle w:val="Normal"/>
        <w:spacing w:lineRule="auto" w:line="240" w:before="0" w:after="0"/>
        <w:ind w:firstLine="567"/>
        <w:rPr>
          <w:rFonts w:ascii="Times New Roman" w:hAnsi="Times New Roman" w:eastAsia="Basic Roman" w:cs="Times New Roman"/>
          <w:color w:val="000000"/>
          <w:sz w:val="24"/>
          <w:szCs w:val="24"/>
          <w:lang w:eastAsia="zh-CN"/>
        </w:rPr>
      </w:pPr>
      <w:r>
        <w:rPr>
          <w:rFonts w:eastAsia="Basic Roman" w:cs="Times New Roman" w:ascii="Times New Roman" w:hAnsi="Times New Roman"/>
          <w:color w:val="000000"/>
          <w:sz w:val="24"/>
          <w:szCs w:val="24"/>
          <w:lang w:eastAsia="zh-CN"/>
        </w:rPr>
      </w:r>
    </w:p>
    <w:p>
      <w:pPr>
        <w:pStyle w:val="Normal"/>
        <w:spacing w:before="0" w:after="200"/>
        <w:jc w:val="end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ab/>
        <w:tab/>
        <w:tab/>
        <w:tab/>
        <w:tab/>
      </w:r>
    </w:p>
    <w:sectPr>
      <w:headerReference w:type="default" r:id="rId2"/>
      <w:headerReference w:type="first" r:id="rId3"/>
      <w:footerReference w:type="default" r:id="rId4"/>
      <w:footerReference w:type="first" r:id="rId5"/>
      <w:type w:val="nextPage"/>
      <w:pgSz w:w="11906" w:h="16838"/>
      <w:pgMar w:left="1725" w:right="850" w:gutter="0" w:header="708" w:top="1134" w:footer="708" w:bottom="113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alibri">
    <w:charset w:val="01" w:characterSet="utf-8"/>
    <w:family w:val="roman"/>
    <w:pitch w:val="variable"/>
  </w:font>
  <w:font w:name="Courier New">
    <w:charset w:val="01" w:characterSet="utf-8"/>
    <w:family w:val="roman"/>
    <w:pitch w:val="variable"/>
  </w:font>
  <w:font w:name="Segoe UI">
    <w:charset w:val="01" w:characterSet="utf-8"/>
    <w:family w:val="swiss"/>
    <w:pitch w:val="variable"/>
  </w:font>
  <w:font w:name="Liberation Sans">
    <w:altName w:val="Arial"/>
    <w:charset w:val="01" w:characterSet="utf-8"/>
    <w:family w:val="swiss"/>
    <w:pitch w:val="variable"/>
  </w:font>
  <w:font w:name="Times New Roman">
    <w:charset w:val="01" w:characterSet="utf-8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-"/>
      <w:lvlJc w:val="start"/>
      <w:pPr>
        <w:tabs>
          <w:tab w:val="num" w:pos="0"/>
        </w:tabs>
        <w:ind w:start="6096" w:hanging="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288" w:hanging="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008" w:hanging="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start"/>
      <w:pPr>
        <w:tabs>
          <w:tab w:val="num" w:pos="0"/>
        </w:tabs>
        <w:ind w:start="2728" w:hanging="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448" w:hanging="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168" w:hanging="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start"/>
      <w:pPr>
        <w:tabs>
          <w:tab w:val="num" w:pos="0"/>
        </w:tabs>
        <w:ind w:start="4888" w:hanging="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608" w:hanging="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328" w:hanging="0"/>
      </w:pPr>
      <w:rPr>
        <w:rFonts w:ascii="Wingdings" w:hAnsi="Wingdings" w:cs="Wingdings" w:hint="default"/>
      </w:rPr>
    </w:lvl>
  </w:abstractNum>
  <w:abstractNum w:abstractNumId="2">
    <w:lvl w:ilvl="0">
      <w:start w:val="3"/>
      <w:numFmt w:val="decimal"/>
      <w:lvlText w:val="%1."/>
      <w:lvlJc w:val="start"/>
      <w:pPr>
        <w:tabs>
          <w:tab w:val="num" w:pos="0"/>
        </w:tabs>
        <w:ind w:start="0" w:hanging="0"/>
      </w:pPr>
      <w:rPr/>
    </w:lvl>
    <w:lvl w:ilvl="1">
      <w:start w:val="2"/>
      <w:numFmt w:val="decimal"/>
      <w:lvlText w:val="%1.%2."/>
      <w:lvlJc w:val="start"/>
      <w:pPr>
        <w:tabs>
          <w:tab w:val="num" w:pos="0"/>
        </w:tabs>
        <w:ind w:start="360" w:hanging="0"/>
      </w:pPr>
      <w:rPr/>
    </w:lvl>
    <w:lvl w:ilvl="2">
      <w:start w:val="1"/>
      <w:numFmt w:val="decimal"/>
      <w:lvlText w:val="%1.%2.%3."/>
      <w:lvlJc w:val="start"/>
      <w:pPr>
        <w:tabs>
          <w:tab w:val="num" w:pos="0"/>
        </w:tabs>
        <w:ind w:start="720" w:hanging="0"/>
      </w:pPr>
      <w:rPr/>
    </w:lvl>
    <w:lvl w:ilvl="3">
      <w:start w:val="1"/>
      <w:numFmt w:val="decimal"/>
      <w:lvlText w:val="%1.%2.%3.%4."/>
      <w:lvlJc w:val="start"/>
      <w:pPr>
        <w:tabs>
          <w:tab w:val="num" w:pos="0"/>
        </w:tabs>
        <w:ind w:start="1080" w:hanging="0"/>
      </w:pPr>
      <w:rPr/>
    </w:lvl>
    <w:lvl w:ilvl="4">
      <w:start w:val="1"/>
      <w:numFmt w:val="decimal"/>
      <w:lvlText w:val="%1.%2.%3.%4.%5."/>
      <w:lvlJc w:val="start"/>
      <w:pPr>
        <w:tabs>
          <w:tab w:val="num" w:pos="0"/>
        </w:tabs>
        <w:ind w:start="1440" w:hanging="0"/>
      </w:pPr>
      <w:rPr/>
    </w:lvl>
    <w:lvl w:ilvl="5">
      <w:start w:val="1"/>
      <w:numFmt w:val="decimal"/>
      <w:lvlText w:val="%1.%2.%3.%4.%5.%6."/>
      <w:lvlJc w:val="start"/>
      <w:pPr>
        <w:tabs>
          <w:tab w:val="num" w:pos="0"/>
        </w:tabs>
        <w:ind w:start="1800" w:hanging="0"/>
      </w:pPr>
      <w:rPr/>
    </w:lvl>
    <w:lvl w:ilvl="6">
      <w:start w:val="1"/>
      <w:numFmt w:val="decimal"/>
      <w:lvlText w:val="%1.%2.%3.%4.%5.%6.%7."/>
      <w:lvlJc w:val="start"/>
      <w:pPr>
        <w:tabs>
          <w:tab w:val="num" w:pos="0"/>
        </w:tabs>
        <w:ind w:start="2160" w:hanging="0"/>
      </w:pPr>
      <w:rPr/>
    </w:lvl>
    <w:lvl w:ilvl="7">
      <w:start w:val="1"/>
      <w:numFmt w:val="decimal"/>
      <w:lvlText w:val="%1.%2.%3.%4.%5.%6.%7.%8."/>
      <w:lvlJc w:val="start"/>
      <w:pPr>
        <w:tabs>
          <w:tab w:val="num" w:pos="0"/>
        </w:tabs>
        <w:ind w:start="2520" w:hanging="0"/>
      </w:pPr>
      <w:rPr/>
    </w:lvl>
    <w:lvl w:ilvl="8">
      <w:start w:val="1"/>
      <w:numFmt w:val="decimal"/>
      <w:lvlText w:val="%1.%2.%3.%4.%5.%6.%7.%8.%9."/>
      <w:lvlJc w:val="start"/>
      <w:pPr>
        <w:tabs>
          <w:tab w:val="num" w:pos="0"/>
        </w:tabs>
        <w:ind w:start="2880" w:hanging="0"/>
      </w:pPr>
      <w:rPr/>
    </w:lvl>
  </w:abstractNum>
  <w:abstractNum w:abstractNumId="3">
    <w:lvl w:ilvl="0">
      <w:start w:val="1"/>
      <w:numFmt w:val="decimal"/>
      <w:lvlText w:val="%1."/>
      <w:lvlJc w:val="start"/>
      <w:pPr>
        <w:tabs>
          <w:tab w:val="num" w:pos="0"/>
        </w:tabs>
        <w:ind w:start="0" w:hanging="0"/>
      </w:pPr>
      <w:rPr/>
    </w:lvl>
    <w:lvl w:ilvl="1">
      <w:start w:val="1"/>
      <w:numFmt w:val="decimal"/>
      <w:lvlText w:val="%1.%2."/>
      <w:lvlJc w:val="start"/>
      <w:pPr>
        <w:tabs>
          <w:tab w:val="num" w:pos="710"/>
        </w:tabs>
        <w:ind w:start="710" w:hanging="0"/>
      </w:pPr>
      <w:rPr>
        <w:i w:val="false"/>
      </w:rPr>
    </w:lvl>
    <w:lvl w:ilvl="2">
      <w:start w:val="1"/>
      <w:numFmt w:val="decimal"/>
      <w:lvlText w:val="%1.%2.%3."/>
      <w:lvlJc w:val="start"/>
      <w:pPr>
        <w:tabs>
          <w:tab w:val="num" w:pos="1277"/>
        </w:tabs>
        <w:ind w:start="1277" w:hanging="0"/>
      </w:pPr>
      <w:rPr>
        <w:i w:val="false"/>
        <w:color w:val="auto"/>
      </w:rPr>
    </w:lvl>
    <w:lvl w:ilvl="3">
      <w:start w:val="1"/>
      <w:numFmt w:val="decimal"/>
      <w:lvlText w:val="(%4)"/>
      <w:lvlJc w:val="start"/>
      <w:pPr>
        <w:tabs>
          <w:tab w:val="num" w:pos="0"/>
        </w:tabs>
        <w:ind w:start="1440" w:hanging="360"/>
      </w:pPr>
      <w:rPr/>
    </w:lvl>
    <w:lvl w:ilvl="4">
      <w:start w:val="1"/>
      <w:numFmt w:val="lowerLetter"/>
      <w:lvlText w:val="(%5)"/>
      <w:lvlJc w:val="start"/>
      <w:pPr>
        <w:tabs>
          <w:tab w:val="num" w:pos="0"/>
        </w:tabs>
        <w:ind w:start="1800" w:hanging="360"/>
      </w:pPr>
      <w:rPr/>
    </w:lvl>
    <w:lvl w:ilvl="5">
      <w:start w:val="1"/>
      <w:numFmt w:val="lowerRoman"/>
      <w:lvlText w:val="(%6)"/>
      <w:lvlJc w:val="start"/>
      <w:pPr>
        <w:tabs>
          <w:tab w:val="num" w:pos="0"/>
        </w:tabs>
        <w:ind w:start="2160" w:hanging="36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252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2880" w:hanging="360"/>
      </w:pPr>
      <w:rPr/>
    </w:lvl>
    <w:lvl w:ilvl="8">
      <w:start w:val="1"/>
      <w:numFmt w:val="lowerRoman"/>
      <w:lvlText w:val="%9."/>
      <w:lvlJc w:val="start"/>
      <w:pPr>
        <w:tabs>
          <w:tab w:val="num" w:pos="0"/>
        </w:tabs>
        <w:ind w:start="3240" w:hanging="360"/>
      </w:pPr>
      <w:rPr/>
    </w:lvl>
  </w:abstractNum>
  <w:abstractNum w:abstractNumId="4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5"/>
    <w:compatSetting w:name="useWord2013TrackBottomHyphenation" w:uri="http://schemas.microsoft.com/office/word" w:val="1"/>
    <w:compatSetting w:name="allowHyphenationAtTrackBottom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ahoma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  <w:spacing w:lineRule="auto" w:line="276" w:before="0" w:after="200"/>
      <w:jc w:val="start"/>
    </w:pPr>
    <w:rPr>
      <w:rFonts w:ascii="Calibri" w:hAnsi="Calibri" w:eastAsia="Calibri"/>
      <w:color w:val="auto"/>
      <w:kern w:val="0"/>
      <w:sz w:val="22"/>
      <w:szCs w:val="22"/>
      <w:lang w:val="ru-RU" w:eastAsia="en-US" w:bidi="ar-SA"/>
    </w:rPr>
  </w:style>
  <w:style w:type="character" w:styleId="DefaultParagraphFont">
    <w:name w:val="Default Paragraph Font"/>
    <w:qFormat/>
    <w:rPr/>
  </w:style>
  <w:style w:type="character" w:styleId="Style14">
    <w:name w:val="Абзац списка Знак"/>
    <w:link w:val="ListParagraph"/>
    <w:qFormat/>
    <w:rPr/>
  </w:style>
  <w:style w:type="character" w:styleId="Hyperlink">
    <w:name w:val="Hyperlink"/>
    <w:basedOn w:val="DefaultParagraphFont"/>
    <w:rPr>
      <w:color w:themeColor="hyperlink" w:val="0563C1"/>
      <w:u w:val="single"/>
    </w:rPr>
  </w:style>
  <w:style w:type="character" w:styleId="Style15">
    <w:name w:val="Текст Знак"/>
    <w:basedOn w:val="DefaultParagraphFont"/>
    <w:link w:val="PlainText"/>
    <w:qFormat/>
    <w:rPr>
      <w:rFonts w:ascii="Courier New" w:hAnsi="Courier New" w:eastAsia="Times New Roman" w:cs="Times New Roman"/>
      <w:sz w:val="20"/>
      <w:szCs w:val="20"/>
      <w:lang w:eastAsia="ru-RU"/>
    </w:rPr>
  </w:style>
  <w:style w:type="character" w:styleId="Style16">
    <w:name w:val="Верхний колонтитул Знак"/>
    <w:basedOn w:val="DefaultParagraphFont"/>
    <w:qFormat/>
    <w:rPr/>
  </w:style>
  <w:style w:type="character" w:styleId="Style17">
    <w:name w:val="Нижний колонтитул Знак"/>
    <w:basedOn w:val="DefaultParagraphFont"/>
    <w:qFormat/>
    <w:rPr/>
  </w:style>
  <w:style w:type="character" w:styleId="PageNumber">
    <w:name w:val="page number"/>
    <w:basedOn w:val="DefaultParagraphFont"/>
    <w:rPr/>
  </w:style>
  <w:style w:type="character" w:styleId="Style18">
    <w:name w:val="Текст выноски Знак"/>
    <w:basedOn w:val="DefaultParagraphFont"/>
    <w:link w:val="BalloonText"/>
    <w:qFormat/>
    <w:rPr>
      <w:rFonts w:ascii="Segoe UI" w:hAnsi="Segoe UI" w:cs="Segoe UI"/>
      <w:sz w:val="18"/>
      <w:szCs w:val="18"/>
    </w:rPr>
  </w:style>
  <w:style w:type="paragraph" w:styleId="Style1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Noto Sans"/>
    </w:rPr>
  </w:style>
  <w:style w:type="paragraph" w:styleId="ListParagraph">
    <w:name w:val="List Paragraph"/>
    <w:basedOn w:val="Normal"/>
    <w:link w:val="Style14"/>
    <w:qFormat/>
    <w:pPr>
      <w:spacing w:before="0" w:after="200"/>
      <w:ind w:start="720"/>
      <w:contextualSpacing/>
    </w:pPr>
    <w:rPr/>
  </w:style>
  <w:style w:type="paragraph" w:styleId="PlainText">
    <w:name w:val="Plain Text"/>
    <w:basedOn w:val="Normal"/>
    <w:link w:val="Style15"/>
    <w:qFormat/>
    <w:pPr>
      <w:spacing w:lineRule="auto" w:line="240" w:before="0" w:after="0"/>
    </w:pPr>
    <w:rPr>
      <w:rFonts w:ascii="Courier New" w:hAnsi="Courier New" w:eastAsia="Times New Roman" w:cs="Times New Roman"/>
      <w:sz w:val="20"/>
      <w:szCs w:val="20"/>
      <w:lang w:eastAsia="ru-RU"/>
    </w:rPr>
  </w:style>
  <w:style w:type="paragraph" w:styleId="Style21">
    <w:name w:val="р"/>
    <w:basedOn w:val="Normal"/>
    <w:qFormat/>
    <w:pPr>
      <w:numPr>
        <w:ilvl w:val="0"/>
        <w:numId w:val="3"/>
      </w:numPr>
      <w:jc w:val="center"/>
    </w:pPr>
    <w:rPr>
      <w:rFonts w:ascii="Times New Roman" w:hAnsi="Times New Roman"/>
      <w:b/>
      <w:sz w:val="26"/>
    </w:rPr>
  </w:style>
  <w:style w:type="paragraph" w:styleId="Style22">
    <w:name w:val="п"/>
    <w:basedOn w:val="Style21"/>
    <w:qFormat/>
    <w:pPr>
      <w:jc w:val="both"/>
    </w:pPr>
    <w:rPr>
      <w:b w:val="false"/>
    </w:rPr>
  </w:style>
  <w:style w:type="paragraph" w:styleId="Style23">
    <w:name w:val="пп"/>
    <w:basedOn w:val="Style22"/>
    <w:qFormat/>
    <w:pPr>
      <w:numPr>
        <w:ilvl w:val="0"/>
        <w:numId w:val="0"/>
      </w:numPr>
      <w:tabs>
        <w:tab w:val="clear" w:pos="708"/>
        <w:tab w:val="left" w:pos="0" w:leader="none"/>
      </w:tabs>
    </w:pPr>
    <w:rPr/>
  </w:style>
  <w:style w:type="paragraph" w:styleId="Style24">
    <w:name w:val="Колонтитулы"/>
    <w:basedOn w:val="Normal"/>
    <w:qFormat/>
    <w:pPr/>
    <w:rPr/>
  </w:style>
  <w:style w:type="paragraph" w:styleId="Header">
    <w:name w:val="header"/>
    <w:basedOn w:val="Normal"/>
    <w:link w:val="Style16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yle17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Style18"/>
    <w:qFormat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Revision">
    <w:name w:val="Revision"/>
    <w:qFormat/>
    <w:pPr>
      <w:widowControl/>
      <w:kinsoku w:val="true"/>
      <w:overflowPunct w:val="true"/>
      <w:autoSpaceDE w:val="true"/>
      <w:bidi w:val="0"/>
      <w:spacing w:lineRule="auto" w:line="240" w:before="0" w:after="0"/>
      <w:jc w:val="start"/>
    </w:pPr>
    <w:rPr>
      <w:rFonts w:ascii="Calibri" w:hAnsi="Calibri" w:eastAsia="Calibri"/>
      <w:color w:val="auto"/>
      <w:kern w:val="0"/>
      <w:sz w:val="22"/>
      <w:szCs w:val="22"/>
      <w:lang w:val="ru-RU" w:eastAsia="en-US" w:bidi="ar-SA"/>
    </w:rPr>
  </w:style>
  <w:style w:type="paragraph" w:styleId="Style25">
    <w:name w:val="Содержимое врезки"/>
    <w:basedOn w:val="Normal"/>
    <w:qFormat/>
    <w:pPr/>
    <w:rPr/>
  </w:style>
  <w:style w:type="paragraph" w:styleId="Style26">
    <w:name w:val="Содержимое таблицы"/>
    <w:basedOn w:val="Normal"/>
    <w:qFormat/>
    <w:pPr>
      <w:widowControl w:val="false"/>
      <w:suppressLineNumbers/>
    </w:pPr>
    <w:rPr/>
  </w:style>
  <w:style w:type="numbering" w:styleId="Style27">
    <w:name w:val="Без списка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457</TotalTime>
  <Application>LibreOffice/25.8.0.4$Linux_X86_64 LibreOffice_project/48f00303701489684e67c38c28aff00cd5929e67</Application>
  <AppVersion>15.0000</AppVersion>
  <Pages>5</Pages>
  <Words>1356</Words>
  <Characters>9841</Characters>
  <CharactersWithSpaces>11123</CharactersWithSpaces>
  <Paragraphs>164</Paragraphs>
  <Company>ПАО "Ростелеком"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2025-06-26T05:35:00Z</dcterms:created>
  <dc:creator>Пшеничникова Наталья Михайловна</dc:creator>
  <dc:description/>
  <dc:language>ru-RU</dc:language>
  <cp:lastModifiedBy/>
  <dcterms:modified xsi:type="dcterms:W3CDTF">2026-05-26T15:58:09Z</dcterms:modified>
  <cp:revision>40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